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FE" w:rsidRPr="00845566" w:rsidRDefault="003269A9" w:rsidP="00CA49FE">
      <w:pPr>
        <w:spacing w:before="1440"/>
        <w:jc w:val="center"/>
        <w:rPr>
          <w:b/>
          <w:lang w:val="uk-UA"/>
        </w:rPr>
      </w:pPr>
      <w:r w:rsidRPr="003269A9">
        <w:rPr>
          <w:noProof/>
          <w:sz w:val="96"/>
          <w:szCs w:val="96"/>
          <w:lang w:val="uk-UA" w:eastAsia="ru-RU"/>
        </w:rPr>
        <w:pict>
          <v:shapetype id="_x0000_t202" coordsize="21600,21600" o:spt="202" path="m,l,21600r21600,l21600,xe">
            <v:stroke joinstyle="miter"/>
            <v:path gradientshapeok="t" o:connecttype="rect"/>
          </v:shapetype>
          <v:shape id="_x0000_s1028" type="#_x0000_t202" style="position:absolute;left:0;text-align:left;margin-left:-34.1pt;margin-top:1.95pt;width:232.35pt;height:93.5pt;z-index:251660288;visibility:visible" filled="f" stroked="f" strokeweight=".5pt">
            <v:textbox style="mso-next-textbox:#_x0000_s1028">
              <w:txbxContent>
                <w:p w:rsidR="00CA49FE" w:rsidRPr="00845566" w:rsidRDefault="00CA49FE" w:rsidP="00845566">
                  <w:pPr>
                    <w:jc w:val="center"/>
                    <w:rPr>
                      <w:b/>
                      <w:i/>
                      <w:lang w:val="uk-UA"/>
                    </w:rPr>
                  </w:pPr>
                  <w:r w:rsidRPr="00845566">
                    <w:rPr>
                      <w:b/>
                      <w:i/>
                      <w:lang w:val="uk-UA"/>
                    </w:rPr>
                    <w:t>СХВАЛЕНО</w:t>
                  </w:r>
                  <w:r w:rsidRPr="00845566">
                    <w:rPr>
                      <w:b/>
                      <w:i/>
                      <w:lang w:val="uk-UA"/>
                    </w:rPr>
                    <w:br/>
                    <w:t>Розпорядження голови облдержадміністрації</w:t>
                  </w:r>
                  <w:r w:rsidRPr="00845566">
                    <w:rPr>
                      <w:b/>
                      <w:i/>
                      <w:lang w:val="uk-UA"/>
                    </w:rPr>
                    <w:br/>
                    <w:t xml:space="preserve">від </w:t>
                  </w:r>
                  <w:r w:rsidRPr="00845566">
                    <w:rPr>
                      <w:b/>
                      <w:i/>
                      <w:u w:val="single"/>
                      <w:lang w:val="uk-UA"/>
                    </w:rPr>
                    <w:t>04.01.2016</w:t>
                  </w:r>
                  <w:r w:rsidRPr="00845566">
                    <w:rPr>
                      <w:b/>
                      <w:i/>
                      <w:lang w:val="uk-UA"/>
                    </w:rPr>
                    <w:t xml:space="preserve"> №</w:t>
                  </w:r>
                  <w:r w:rsidRPr="00845566">
                    <w:rPr>
                      <w:b/>
                      <w:i/>
                      <w:u w:val="single"/>
                      <w:lang w:val="uk-UA"/>
                    </w:rPr>
                    <w:t xml:space="preserve"> 1</w:t>
                  </w:r>
                </w:p>
              </w:txbxContent>
            </v:textbox>
          </v:shape>
        </w:pict>
      </w:r>
      <w:r w:rsidRPr="003269A9">
        <w:rPr>
          <w:noProof/>
          <w:lang w:val="uk-UA"/>
        </w:rPr>
        <w:pict>
          <v:shape id="Поле 2" o:spid="_x0000_s1026" type="#_x0000_t202" style="position:absolute;left:0;text-align:left;margin-left:257.65pt;margin-top:1.95pt;width:238.9pt;height:93.5pt;z-index:251659264;visibility:visible" filled="f" stroked="f" strokeweight=".5pt">
            <v:textbox style="mso-next-textbox:#Поле 2">
              <w:txbxContent>
                <w:p w:rsidR="00391786" w:rsidRPr="00845566" w:rsidRDefault="00CA49FE" w:rsidP="00845566">
                  <w:pPr>
                    <w:jc w:val="center"/>
                    <w:rPr>
                      <w:b/>
                      <w:i/>
                      <w:lang w:val="uk-UA"/>
                    </w:rPr>
                  </w:pPr>
                  <w:r w:rsidRPr="00845566">
                    <w:rPr>
                      <w:b/>
                      <w:i/>
                      <w:lang w:val="uk-UA"/>
                    </w:rPr>
                    <w:t>ЗАТВЕРДЖЕНО</w:t>
                  </w:r>
                  <w:r w:rsidR="00391786" w:rsidRPr="00845566">
                    <w:rPr>
                      <w:b/>
                      <w:i/>
                      <w:lang w:val="uk-UA"/>
                    </w:rPr>
                    <w:br/>
                  </w:r>
                  <w:r w:rsidRPr="00845566">
                    <w:rPr>
                      <w:b/>
                      <w:i/>
                      <w:lang w:val="uk-UA"/>
                    </w:rPr>
                    <w:t>Рішення Рівненської обласної ради</w:t>
                  </w:r>
                  <w:r w:rsidR="00391786" w:rsidRPr="00845566">
                    <w:rPr>
                      <w:b/>
                      <w:i/>
                      <w:lang w:val="uk-UA"/>
                    </w:rPr>
                    <w:br/>
                  </w:r>
                  <w:r w:rsidRPr="00845566">
                    <w:rPr>
                      <w:b/>
                      <w:i/>
                      <w:lang w:val="uk-UA"/>
                    </w:rPr>
                    <w:t xml:space="preserve">від </w:t>
                  </w:r>
                  <w:r w:rsidR="00580123" w:rsidRPr="00580123">
                    <w:rPr>
                      <w:b/>
                      <w:i/>
                      <w:u w:val="single"/>
                      <w:lang w:val="uk-UA"/>
                    </w:rPr>
                    <w:t xml:space="preserve">11.03.2016 </w:t>
                  </w:r>
                  <w:r w:rsidR="00391786" w:rsidRPr="00845566">
                    <w:rPr>
                      <w:b/>
                      <w:i/>
                      <w:lang w:val="uk-UA"/>
                    </w:rPr>
                    <w:t>№</w:t>
                  </w:r>
                  <w:r w:rsidR="00580123">
                    <w:rPr>
                      <w:b/>
                      <w:i/>
                      <w:lang w:val="uk-UA"/>
                    </w:rPr>
                    <w:t xml:space="preserve"> </w:t>
                  </w:r>
                  <w:r w:rsidR="00580123" w:rsidRPr="00580123">
                    <w:rPr>
                      <w:b/>
                      <w:i/>
                      <w:u w:val="single"/>
                      <w:lang w:val="uk-UA"/>
                    </w:rPr>
                    <w:t>111</w:t>
                  </w:r>
                </w:p>
              </w:txbxContent>
            </v:textbox>
          </v:shape>
        </w:pict>
      </w:r>
    </w:p>
    <w:p w:rsidR="00247A73" w:rsidRPr="00845566" w:rsidRDefault="00247A73" w:rsidP="00CA49FE">
      <w:pPr>
        <w:spacing w:before="720"/>
        <w:jc w:val="center"/>
        <w:rPr>
          <w:b/>
          <w:lang w:val="uk-UA"/>
        </w:rPr>
      </w:pPr>
      <w:r w:rsidRPr="00845566">
        <w:rPr>
          <w:b/>
          <w:lang w:val="uk-UA"/>
        </w:rPr>
        <w:t>Програма</w:t>
      </w:r>
      <w:r w:rsidR="00CA49FE" w:rsidRPr="00845566">
        <w:rPr>
          <w:b/>
          <w:lang w:val="uk-UA"/>
        </w:rPr>
        <w:t xml:space="preserve"> </w:t>
      </w:r>
      <w:r w:rsidR="00CA49FE" w:rsidRPr="00845566">
        <w:rPr>
          <w:b/>
          <w:lang w:val="uk-UA"/>
        </w:rPr>
        <w:br/>
      </w:r>
      <w:r w:rsidRPr="00845566">
        <w:rPr>
          <w:b/>
          <w:lang w:val="uk-UA"/>
        </w:rPr>
        <w:t xml:space="preserve">розвитку інвестиційної діяльності </w:t>
      </w:r>
      <w:r w:rsidR="008F5C8F" w:rsidRPr="00845566">
        <w:rPr>
          <w:b/>
          <w:lang w:val="uk-UA"/>
        </w:rPr>
        <w:t>в Рівненській</w:t>
      </w:r>
      <w:r w:rsidRPr="00845566">
        <w:rPr>
          <w:b/>
          <w:lang w:val="uk-UA"/>
        </w:rPr>
        <w:t xml:space="preserve"> області </w:t>
      </w:r>
      <w:r w:rsidR="00345EE6" w:rsidRPr="00845566">
        <w:rPr>
          <w:b/>
          <w:lang w:val="uk-UA"/>
        </w:rPr>
        <w:br/>
      </w:r>
      <w:r w:rsidRPr="00845566">
        <w:rPr>
          <w:b/>
          <w:lang w:val="uk-UA"/>
        </w:rPr>
        <w:t>на 201</w:t>
      </w:r>
      <w:r w:rsidR="00006502" w:rsidRPr="00845566">
        <w:rPr>
          <w:b/>
          <w:lang w:val="uk-UA"/>
        </w:rPr>
        <w:t>6</w:t>
      </w:r>
      <w:r w:rsidRPr="00845566">
        <w:rPr>
          <w:b/>
          <w:lang w:val="uk-UA"/>
        </w:rPr>
        <w:t xml:space="preserve"> – 201</w:t>
      </w:r>
      <w:r w:rsidR="00006502" w:rsidRPr="00845566">
        <w:rPr>
          <w:b/>
          <w:lang w:val="uk-UA"/>
        </w:rPr>
        <w:t>8</w:t>
      </w:r>
      <w:r w:rsidRPr="00845566">
        <w:rPr>
          <w:b/>
          <w:lang w:val="uk-UA"/>
        </w:rPr>
        <w:t xml:space="preserve"> роки</w:t>
      </w:r>
    </w:p>
    <w:p w:rsidR="00CA49FE" w:rsidRPr="00845566" w:rsidRDefault="00CA49FE" w:rsidP="00CA49FE">
      <w:pPr>
        <w:spacing w:after="0"/>
        <w:jc w:val="center"/>
        <w:rPr>
          <w:b/>
          <w:lang w:val="uk-UA"/>
        </w:rPr>
      </w:pPr>
    </w:p>
    <w:p w:rsidR="00247A73" w:rsidRPr="00845566" w:rsidRDefault="00877534" w:rsidP="005A78EC">
      <w:pPr>
        <w:spacing w:after="240"/>
        <w:jc w:val="center"/>
        <w:rPr>
          <w:b/>
          <w:lang w:val="uk-UA"/>
        </w:rPr>
      </w:pPr>
      <w:r w:rsidRPr="00845566">
        <w:rPr>
          <w:b/>
          <w:lang w:val="uk-UA"/>
        </w:rPr>
        <w:t>І</w:t>
      </w:r>
      <w:r w:rsidR="00247A73" w:rsidRPr="00845566">
        <w:rPr>
          <w:b/>
          <w:lang w:val="uk-UA"/>
        </w:rPr>
        <w:t>. Загальні положення</w:t>
      </w:r>
    </w:p>
    <w:p w:rsidR="005346C7" w:rsidRPr="00845566" w:rsidRDefault="00247A73" w:rsidP="005346C7">
      <w:pPr>
        <w:spacing w:after="0"/>
        <w:ind w:firstLine="709"/>
        <w:jc w:val="both"/>
        <w:outlineLvl w:val="0"/>
        <w:rPr>
          <w:lang w:val="uk-UA"/>
        </w:rPr>
      </w:pPr>
      <w:r w:rsidRPr="00845566">
        <w:rPr>
          <w:lang w:val="uk-UA"/>
        </w:rPr>
        <w:t xml:space="preserve">Програма розвитку інвестиційної діяльності  </w:t>
      </w:r>
      <w:r w:rsidR="008F5C8F" w:rsidRPr="00845566">
        <w:rPr>
          <w:lang w:val="uk-UA"/>
        </w:rPr>
        <w:t>в Рівненській</w:t>
      </w:r>
      <w:r w:rsidRPr="00845566">
        <w:rPr>
          <w:lang w:val="uk-UA"/>
        </w:rPr>
        <w:t xml:space="preserve"> області на </w:t>
      </w:r>
      <w:r w:rsidR="00345EE6" w:rsidRPr="00845566">
        <w:rPr>
          <w:lang w:val="uk-UA"/>
        </w:rPr>
        <w:br/>
      </w:r>
      <w:r w:rsidRPr="00845566">
        <w:rPr>
          <w:lang w:val="uk-UA"/>
        </w:rPr>
        <w:t>201</w:t>
      </w:r>
      <w:r w:rsidR="00006502" w:rsidRPr="00845566">
        <w:rPr>
          <w:lang w:val="uk-UA"/>
        </w:rPr>
        <w:t>6</w:t>
      </w:r>
      <w:r w:rsidRPr="00845566">
        <w:rPr>
          <w:lang w:val="uk-UA"/>
        </w:rPr>
        <w:t xml:space="preserve"> – 201</w:t>
      </w:r>
      <w:r w:rsidR="00006502" w:rsidRPr="00845566">
        <w:rPr>
          <w:lang w:val="uk-UA"/>
        </w:rPr>
        <w:t>8</w:t>
      </w:r>
      <w:r w:rsidRPr="00845566">
        <w:rPr>
          <w:lang w:val="uk-UA"/>
        </w:rPr>
        <w:t xml:space="preserve"> роки</w:t>
      </w:r>
      <w:r w:rsidR="00006502" w:rsidRPr="00845566">
        <w:rPr>
          <w:lang w:val="uk-UA"/>
        </w:rPr>
        <w:t xml:space="preserve"> </w:t>
      </w:r>
      <w:r w:rsidRPr="00845566">
        <w:rPr>
          <w:lang w:val="uk-UA"/>
        </w:rPr>
        <w:t xml:space="preserve">(далі – Програма) розроблена з метою конкретизації завдань і пріоритетів </w:t>
      </w:r>
      <w:r w:rsidR="005346C7" w:rsidRPr="00845566">
        <w:rPr>
          <w:lang w:val="uk-UA"/>
        </w:rPr>
        <w:t>Стратегії розвитку Рівненської області на період до 2020 року</w:t>
      </w:r>
      <w:r w:rsidR="00C77AD7" w:rsidRPr="00845566">
        <w:rPr>
          <w:lang w:val="uk-UA"/>
        </w:rPr>
        <w:t xml:space="preserve">, </w:t>
      </w:r>
      <w:r w:rsidR="005346C7" w:rsidRPr="00845566">
        <w:rPr>
          <w:lang w:val="uk-UA"/>
        </w:rPr>
        <w:t xml:space="preserve">схваленої розпорядженням голови облдержадміністрації від </w:t>
      </w:r>
      <w:r w:rsidR="00C77AD7" w:rsidRPr="00845566">
        <w:rPr>
          <w:lang w:val="uk-UA"/>
        </w:rPr>
        <w:br/>
      </w:r>
      <w:r w:rsidR="005346C7" w:rsidRPr="00845566">
        <w:rPr>
          <w:lang w:val="uk-UA"/>
        </w:rPr>
        <w:t xml:space="preserve">28 листопада </w:t>
      </w:r>
      <w:r w:rsidR="00C77AD7" w:rsidRPr="00845566">
        <w:rPr>
          <w:lang w:val="uk-UA"/>
        </w:rPr>
        <w:t xml:space="preserve">2014 року № 612, </w:t>
      </w:r>
      <w:r w:rsidR="005346C7" w:rsidRPr="00845566">
        <w:rPr>
          <w:lang w:val="uk-UA"/>
        </w:rPr>
        <w:t xml:space="preserve">затвердженої рішенням обласної ради від </w:t>
      </w:r>
      <w:r w:rsidR="00C77AD7" w:rsidRPr="00845566">
        <w:rPr>
          <w:lang w:val="uk-UA"/>
        </w:rPr>
        <w:br/>
      </w:r>
      <w:r w:rsidR="005346C7" w:rsidRPr="00845566">
        <w:rPr>
          <w:lang w:val="uk-UA"/>
        </w:rPr>
        <w:t>18 грудня 2014 року № 1374</w:t>
      </w:r>
      <w:r w:rsidR="00C77AD7" w:rsidRPr="00845566">
        <w:rPr>
          <w:lang w:val="uk-UA"/>
        </w:rPr>
        <w:t xml:space="preserve">, </w:t>
      </w:r>
      <w:r w:rsidR="005346C7" w:rsidRPr="00845566">
        <w:rPr>
          <w:lang w:val="uk-UA"/>
        </w:rPr>
        <w:t>плану на 2015 – 2017 роки із реалізації Стратегії розвитку Рівненської області на період до 2020 року</w:t>
      </w:r>
      <w:r w:rsidR="00C77AD7" w:rsidRPr="00845566">
        <w:rPr>
          <w:lang w:val="uk-UA"/>
        </w:rPr>
        <w:t xml:space="preserve">, </w:t>
      </w:r>
      <w:r w:rsidR="005346C7" w:rsidRPr="00845566">
        <w:rPr>
          <w:lang w:val="uk-UA"/>
        </w:rPr>
        <w:t>схваленого розпорядженням голови облдержадміністрації в</w:t>
      </w:r>
      <w:r w:rsidR="00C77AD7" w:rsidRPr="00845566">
        <w:rPr>
          <w:lang w:val="uk-UA"/>
        </w:rPr>
        <w:t xml:space="preserve">ід 27 травня 2015 року № 273, </w:t>
      </w:r>
      <w:r w:rsidR="005346C7" w:rsidRPr="00845566">
        <w:rPr>
          <w:lang w:val="uk-UA"/>
        </w:rPr>
        <w:t>затвердженого рішенням обласної ради від 12 червня 2015 року № 1471.</w:t>
      </w:r>
    </w:p>
    <w:p w:rsidR="00247A73" w:rsidRPr="00845566" w:rsidRDefault="00247A73" w:rsidP="005346C7">
      <w:pPr>
        <w:spacing w:after="0"/>
        <w:ind w:firstLine="709"/>
        <w:jc w:val="both"/>
        <w:outlineLvl w:val="0"/>
        <w:rPr>
          <w:lang w:val="uk-UA"/>
        </w:rPr>
      </w:pPr>
      <w:r w:rsidRPr="00845566">
        <w:rPr>
          <w:lang w:val="uk-UA"/>
        </w:rPr>
        <w:t xml:space="preserve">Програма розроблена на підставі статей 17, 18, 19 Закону України </w:t>
      </w:r>
      <w:r w:rsidR="00C77AD7" w:rsidRPr="00845566">
        <w:rPr>
          <w:lang w:val="uk-UA"/>
        </w:rPr>
        <w:br/>
      </w:r>
      <w:r w:rsidRPr="00845566">
        <w:rPr>
          <w:lang w:val="uk-UA"/>
        </w:rPr>
        <w:t>«Про місцеві державні адміністрації», статті 43 Закону України «Про місцеве самоврядування в Україні», Законів України «Про державне прогнозування та розр</w:t>
      </w:r>
      <w:r w:rsidR="00FA767F" w:rsidRPr="00845566">
        <w:rPr>
          <w:lang w:val="uk-UA"/>
        </w:rPr>
        <w:t xml:space="preserve">облення програм економічного і </w:t>
      </w:r>
      <w:r w:rsidRPr="00845566">
        <w:rPr>
          <w:lang w:val="uk-UA"/>
        </w:rPr>
        <w:t xml:space="preserve">соціального розвитку України», </w:t>
      </w:r>
      <w:r w:rsidR="00FA767F" w:rsidRPr="00845566">
        <w:rPr>
          <w:lang w:val="uk-UA"/>
        </w:rPr>
        <w:br/>
      </w:r>
      <w:r w:rsidRPr="00845566">
        <w:rPr>
          <w:lang w:val="uk-UA"/>
        </w:rPr>
        <w:t>«Про інвестиційну діяльність», «Про інноваційну діяльність», «Про режим іноземного інвестування», «П</w:t>
      </w:r>
      <w:r w:rsidR="00FA767F" w:rsidRPr="00845566">
        <w:rPr>
          <w:lang w:val="uk-UA"/>
        </w:rPr>
        <w:t>ро захист іноземних інвестицій на</w:t>
      </w:r>
      <w:r w:rsidRPr="00845566">
        <w:rPr>
          <w:lang w:val="uk-UA"/>
        </w:rPr>
        <w:t xml:space="preserve"> Україні», </w:t>
      </w:r>
      <w:r w:rsidR="00FA767F" w:rsidRPr="00845566">
        <w:rPr>
          <w:lang w:val="uk-UA"/>
        </w:rPr>
        <w:br/>
      </w:r>
      <w:r w:rsidRPr="00845566">
        <w:rPr>
          <w:lang w:val="uk-UA"/>
        </w:rPr>
        <w:t xml:space="preserve">«Про зовнішньоекономічну діяльність» та </w:t>
      </w:r>
      <w:r w:rsidR="003703D6" w:rsidRPr="00845566">
        <w:rPr>
          <w:lang w:val="uk-UA"/>
        </w:rPr>
        <w:t>відповідних</w:t>
      </w:r>
      <w:r w:rsidRPr="00845566">
        <w:rPr>
          <w:lang w:val="uk-UA"/>
        </w:rPr>
        <w:t xml:space="preserve"> нормативно-правових актів з питань інвестиційної діяльності на території України. </w:t>
      </w:r>
    </w:p>
    <w:p w:rsidR="00247A73" w:rsidRPr="00845566" w:rsidRDefault="00247A73" w:rsidP="00DB07BD">
      <w:pPr>
        <w:spacing w:after="0"/>
        <w:ind w:firstLine="709"/>
        <w:jc w:val="both"/>
        <w:rPr>
          <w:lang w:val="uk-UA"/>
        </w:rPr>
      </w:pPr>
      <w:r w:rsidRPr="00845566">
        <w:rPr>
          <w:lang w:val="uk-UA"/>
        </w:rPr>
        <w:t>У Програмі визначено основні напрями активізації та розвитку інвестиційної діяльності в</w:t>
      </w:r>
      <w:r w:rsidR="00006502" w:rsidRPr="00845566">
        <w:rPr>
          <w:lang w:val="uk-UA"/>
        </w:rPr>
        <w:t xml:space="preserve"> </w:t>
      </w:r>
      <w:r w:rsidRPr="00845566">
        <w:rPr>
          <w:lang w:val="uk-UA"/>
        </w:rPr>
        <w:t>області, проведено аналіз стану та основних тенденцій інвестиційної діяльності, визначено стратегічні напрями та пріоритети інвестиційного розвитку Рівненщини, розроблено рекомендації місцевим органам виконавчої влади та органам місцевого самоврядування щодо створення сприятливих умов для активізації інвестиційної діяльності, а також необхідних управлінських рішень та механізмів додаткової мотивації для потенційних інвесторів у пріоритетних напрямах інвестиційного розвитку області.</w:t>
      </w:r>
    </w:p>
    <w:p w:rsidR="00247A73" w:rsidRPr="00845566" w:rsidRDefault="00247A73" w:rsidP="00DB07BD">
      <w:pPr>
        <w:spacing w:after="0"/>
        <w:ind w:firstLine="709"/>
        <w:jc w:val="both"/>
        <w:rPr>
          <w:lang w:val="uk-UA"/>
        </w:rPr>
      </w:pPr>
      <w:r w:rsidRPr="00845566">
        <w:rPr>
          <w:lang w:val="uk-UA"/>
        </w:rPr>
        <w:lastRenderedPageBreak/>
        <w:t>Програма передбачає механізми координації діяльності всіх учасників інвестиційних процесів на території області.</w:t>
      </w:r>
    </w:p>
    <w:p w:rsidR="00247A73" w:rsidRPr="00845566" w:rsidRDefault="00877534" w:rsidP="005A78EC">
      <w:pPr>
        <w:pStyle w:val="1"/>
        <w:spacing w:before="0" w:after="240" w:line="240" w:lineRule="auto"/>
        <w:jc w:val="center"/>
        <w:rPr>
          <w:rFonts w:ascii="Times New Roman" w:hAnsi="Times New Roman" w:cs="Times New Roman"/>
          <w:color w:val="auto"/>
          <w:lang w:val="uk-UA"/>
        </w:rPr>
      </w:pPr>
      <w:r w:rsidRPr="00845566">
        <w:rPr>
          <w:rFonts w:ascii="Times New Roman" w:hAnsi="Times New Roman" w:cs="Times New Roman"/>
          <w:color w:val="auto"/>
          <w:lang w:val="uk-UA"/>
        </w:rPr>
        <w:t>ІІ</w:t>
      </w:r>
      <w:r w:rsidR="00247A73" w:rsidRPr="00845566">
        <w:rPr>
          <w:rFonts w:ascii="Times New Roman" w:hAnsi="Times New Roman" w:cs="Times New Roman"/>
          <w:color w:val="auto"/>
          <w:lang w:val="uk-UA"/>
        </w:rPr>
        <w:t>. Стан і тенденції інвестиційної діяльності у Рівненській області</w:t>
      </w:r>
    </w:p>
    <w:p w:rsidR="005A76FE" w:rsidRPr="00845566" w:rsidRDefault="00866DFB" w:rsidP="00DB07BD">
      <w:pPr>
        <w:tabs>
          <w:tab w:val="left" w:pos="709"/>
          <w:tab w:val="left" w:pos="993"/>
        </w:tabs>
        <w:spacing w:after="0"/>
        <w:ind w:firstLine="708"/>
        <w:jc w:val="both"/>
        <w:rPr>
          <w:lang w:val="uk-UA"/>
        </w:rPr>
      </w:pPr>
      <w:r w:rsidRPr="00845566">
        <w:rPr>
          <w:lang w:val="uk-UA"/>
        </w:rPr>
        <w:t>Станом на 01.10.2015 загальний обсяг прямих іноземних інвестицій, залучених в економіку області, с</w:t>
      </w:r>
      <w:r w:rsidR="00FA767F" w:rsidRPr="00845566">
        <w:rPr>
          <w:lang w:val="uk-UA"/>
        </w:rPr>
        <w:t>танови</w:t>
      </w:r>
      <w:r w:rsidRPr="00845566">
        <w:rPr>
          <w:lang w:val="uk-UA"/>
        </w:rPr>
        <w:t xml:space="preserve">в 245,7 млн. дол. США, що на </w:t>
      </w:r>
      <w:r w:rsidR="00BB76DF" w:rsidRPr="00845566">
        <w:rPr>
          <w:lang w:val="uk-UA"/>
        </w:rPr>
        <w:br/>
      </w:r>
      <w:r w:rsidRPr="00845566">
        <w:rPr>
          <w:lang w:val="uk-UA"/>
        </w:rPr>
        <w:t>6,7 відс</w:t>
      </w:r>
      <w:r w:rsidR="00BB76DF" w:rsidRPr="00845566">
        <w:rPr>
          <w:lang w:val="uk-UA"/>
        </w:rPr>
        <w:t>отка</w:t>
      </w:r>
      <w:r w:rsidRPr="00845566">
        <w:rPr>
          <w:lang w:val="uk-UA"/>
        </w:rPr>
        <w:t xml:space="preserve"> менше порівняно з 01.01.2015.</w:t>
      </w:r>
      <w:r w:rsidR="005A76FE" w:rsidRPr="00845566">
        <w:rPr>
          <w:lang w:val="uk-UA"/>
        </w:rPr>
        <w:t xml:space="preserve"> В розрахунку на одну особу обсяг залучених прямих іноземних інвестицій</w:t>
      </w:r>
      <w:r w:rsidR="00FA767F" w:rsidRPr="00845566">
        <w:rPr>
          <w:lang w:val="uk-UA"/>
        </w:rPr>
        <w:t xml:space="preserve"> станови</w:t>
      </w:r>
      <w:r w:rsidR="005751C1" w:rsidRPr="00845566">
        <w:rPr>
          <w:lang w:val="uk-UA"/>
        </w:rPr>
        <w:t>в 212</w:t>
      </w:r>
      <w:r w:rsidR="005A76FE" w:rsidRPr="00845566">
        <w:rPr>
          <w:lang w:val="uk-UA"/>
        </w:rPr>
        <w:t xml:space="preserve"> дол.</w:t>
      </w:r>
      <w:r w:rsidR="00FA767F" w:rsidRPr="00845566">
        <w:rPr>
          <w:lang w:val="uk-UA"/>
        </w:rPr>
        <w:t xml:space="preserve"> </w:t>
      </w:r>
      <w:r w:rsidR="005A76FE" w:rsidRPr="00845566">
        <w:rPr>
          <w:lang w:val="uk-UA"/>
        </w:rPr>
        <w:t>США</w:t>
      </w:r>
      <w:r w:rsidR="00A332CF" w:rsidRPr="00845566">
        <w:rPr>
          <w:lang w:val="uk-UA"/>
        </w:rPr>
        <w:t>.</w:t>
      </w:r>
    </w:p>
    <w:p w:rsidR="00866DFB" w:rsidRPr="00845566" w:rsidRDefault="00866DFB" w:rsidP="00DB07BD">
      <w:pPr>
        <w:tabs>
          <w:tab w:val="left" w:pos="709"/>
          <w:tab w:val="left" w:pos="993"/>
        </w:tabs>
        <w:spacing w:after="0"/>
        <w:ind w:firstLine="708"/>
        <w:jc w:val="both"/>
        <w:rPr>
          <w:lang w:val="uk-UA"/>
        </w:rPr>
      </w:pPr>
      <w:r w:rsidRPr="00845566">
        <w:rPr>
          <w:lang w:val="uk-UA"/>
        </w:rPr>
        <w:t xml:space="preserve">Основною причиною спаду є зміна валютного курсу (курсова різниця), в результаті якої область втратила близько 19,9 млн. дол. США. Реального витоку </w:t>
      </w:r>
      <w:r w:rsidR="007B19A1" w:rsidRPr="00845566">
        <w:rPr>
          <w:lang w:val="uk-UA"/>
        </w:rPr>
        <w:t>інвестицій від</w:t>
      </w:r>
      <w:r w:rsidRPr="00845566">
        <w:rPr>
          <w:lang w:val="uk-UA"/>
        </w:rPr>
        <w:t xml:space="preserve"> провідних підприємств області з іноземним капіталом не відбулося.</w:t>
      </w:r>
    </w:p>
    <w:p w:rsidR="00866DFB" w:rsidRPr="00845566" w:rsidRDefault="00866DFB" w:rsidP="00DB07BD">
      <w:pPr>
        <w:spacing w:after="0"/>
        <w:ind w:firstLine="708"/>
        <w:jc w:val="both"/>
        <w:rPr>
          <w:lang w:val="uk-UA"/>
        </w:rPr>
      </w:pPr>
      <w:r w:rsidRPr="00845566">
        <w:rPr>
          <w:lang w:val="uk-UA"/>
        </w:rPr>
        <w:t xml:space="preserve">До п’ятірки основних країн-інвесторів входять: Німеччина – </w:t>
      </w:r>
      <w:r w:rsidRPr="00845566">
        <w:rPr>
          <w:lang w:val="uk-UA"/>
        </w:rPr>
        <w:br/>
        <w:t xml:space="preserve">61,8 млн. дол. США, Велика Британія – 51,9 млн. дол. США, Кіпр – </w:t>
      </w:r>
      <w:r w:rsidRPr="00845566">
        <w:rPr>
          <w:lang w:val="uk-UA"/>
        </w:rPr>
        <w:br/>
        <w:t>30,5 млн. дол. США, Нід</w:t>
      </w:r>
      <w:r w:rsidR="007B19A1" w:rsidRPr="00845566">
        <w:rPr>
          <w:lang w:val="uk-UA"/>
        </w:rPr>
        <w:t xml:space="preserve">ерланди – 30,3 млн. дол. США, </w:t>
      </w:r>
      <w:r w:rsidRPr="00845566">
        <w:rPr>
          <w:lang w:val="uk-UA"/>
        </w:rPr>
        <w:t xml:space="preserve">Італія – </w:t>
      </w:r>
      <w:r w:rsidRPr="00845566">
        <w:rPr>
          <w:lang w:val="uk-UA"/>
        </w:rPr>
        <w:br/>
        <w:t>29,6 млн. дол. США.</w:t>
      </w:r>
    </w:p>
    <w:p w:rsidR="009C7708" w:rsidRPr="00845566" w:rsidRDefault="009C7708" w:rsidP="00DB07BD">
      <w:pPr>
        <w:spacing w:after="0"/>
        <w:ind w:firstLine="708"/>
        <w:jc w:val="both"/>
        <w:rPr>
          <w:sz w:val="20"/>
          <w:lang w:val="uk-UA"/>
        </w:rPr>
      </w:pPr>
    </w:p>
    <w:p w:rsidR="009C7708" w:rsidRPr="00845566" w:rsidRDefault="009C7708" w:rsidP="00DB07BD">
      <w:pPr>
        <w:spacing w:after="0"/>
        <w:jc w:val="center"/>
        <w:rPr>
          <w:b/>
          <w:bCs/>
          <w:lang w:val="uk-UA"/>
        </w:rPr>
      </w:pPr>
      <w:r w:rsidRPr="00845566">
        <w:rPr>
          <w:b/>
          <w:bCs/>
          <w:lang w:val="uk-UA"/>
        </w:rPr>
        <w:t>Країни з найбільшим обсягом іноземних інвестицій</w:t>
      </w:r>
    </w:p>
    <w:p w:rsidR="009C7708" w:rsidRPr="00845566" w:rsidRDefault="009C7708" w:rsidP="00DB07BD">
      <w:pPr>
        <w:spacing w:after="0"/>
        <w:jc w:val="center"/>
        <w:rPr>
          <w:b/>
          <w:lang w:val="uk-UA"/>
        </w:rPr>
      </w:pPr>
      <w:r w:rsidRPr="00845566">
        <w:rPr>
          <w:b/>
          <w:bCs/>
          <w:lang w:val="uk-UA"/>
        </w:rPr>
        <w:t xml:space="preserve">в </w:t>
      </w:r>
      <w:r w:rsidR="00BB76DF" w:rsidRPr="00845566">
        <w:rPr>
          <w:b/>
          <w:bCs/>
          <w:lang w:val="uk-UA"/>
        </w:rPr>
        <w:t xml:space="preserve">економіку </w:t>
      </w:r>
      <w:r w:rsidRPr="00845566">
        <w:rPr>
          <w:b/>
          <w:bCs/>
          <w:lang w:val="uk-UA"/>
        </w:rPr>
        <w:t>Рівненськ</w:t>
      </w:r>
      <w:r w:rsidR="00BB76DF" w:rsidRPr="00845566">
        <w:rPr>
          <w:b/>
          <w:bCs/>
          <w:lang w:val="uk-UA"/>
        </w:rPr>
        <w:t>ої</w:t>
      </w:r>
      <w:r w:rsidRPr="00845566">
        <w:rPr>
          <w:b/>
          <w:bCs/>
          <w:lang w:val="uk-UA"/>
        </w:rPr>
        <w:t xml:space="preserve"> област</w:t>
      </w:r>
      <w:r w:rsidR="00BB76DF" w:rsidRPr="00845566">
        <w:rPr>
          <w:b/>
          <w:bCs/>
          <w:lang w:val="uk-UA"/>
        </w:rPr>
        <w:t>і</w:t>
      </w:r>
      <w:r w:rsidRPr="00845566">
        <w:rPr>
          <w:lang w:val="uk-UA"/>
        </w:rPr>
        <w:t xml:space="preserve"> </w:t>
      </w:r>
      <w:r w:rsidR="00877534" w:rsidRPr="00845566">
        <w:rPr>
          <w:b/>
          <w:lang w:val="uk-UA"/>
        </w:rPr>
        <w:t>(млн. дол. США)</w:t>
      </w:r>
      <w:r w:rsidRPr="00845566">
        <w:rPr>
          <w:b/>
          <w:lang w:val="uk-UA"/>
        </w:rPr>
        <w:t xml:space="preserve"> станом на 01.10.2015</w:t>
      </w:r>
    </w:p>
    <w:p w:rsidR="007B19A1" w:rsidRPr="00845566" w:rsidRDefault="007B19A1" w:rsidP="00DB07BD">
      <w:pPr>
        <w:spacing w:after="0"/>
        <w:jc w:val="center"/>
        <w:rPr>
          <w:b/>
          <w:sz w:val="20"/>
          <w:szCs w:val="20"/>
          <w:lang w:val="uk-UA"/>
        </w:rPr>
      </w:pPr>
    </w:p>
    <w:p w:rsidR="007B19A1" w:rsidRPr="00845566" w:rsidRDefault="007B19A1" w:rsidP="007B19A1">
      <w:pPr>
        <w:spacing w:after="0"/>
        <w:jc w:val="center"/>
        <w:rPr>
          <w:b/>
          <w:sz w:val="20"/>
          <w:lang w:val="uk-UA"/>
        </w:rPr>
      </w:pPr>
      <w:r w:rsidRPr="00845566">
        <w:rPr>
          <w:noProof/>
          <w:lang w:val="uk-UA" w:eastAsia="uk-UA"/>
        </w:rPr>
        <w:drawing>
          <wp:inline distT="0" distB="0" distL="0" distR="0">
            <wp:extent cx="4962525" cy="2200275"/>
            <wp:effectExtent l="1905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19A1" w:rsidRPr="00845566" w:rsidRDefault="007B19A1" w:rsidP="007B19A1">
      <w:pPr>
        <w:spacing w:after="0"/>
        <w:jc w:val="center"/>
        <w:rPr>
          <w:b/>
          <w:sz w:val="20"/>
          <w:lang w:val="uk-UA"/>
        </w:rPr>
      </w:pPr>
    </w:p>
    <w:p w:rsidR="00866DFB" w:rsidRPr="00845566" w:rsidRDefault="00866DFB" w:rsidP="00DB07BD">
      <w:pPr>
        <w:spacing w:after="0"/>
        <w:ind w:firstLine="708"/>
        <w:jc w:val="both"/>
        <w:rPr>
          <w:lang w:val="uk-UA"/>
        </w:rPr>
      </w:pPr>
      <w:r w:rsidRPr="00845566">
        <w:rPr>
          <w:lang w:val="uk-UA"/>
        </w:rPr>
        <w:t xml:space="preserve">Найбільш </w:t>
      </w:r>
      <w:proofErr w:type="spellStart"/>
      <w:r w:rsidRPr="00845566">
        <w:rPr>
          <w:lang w:val="uk-UA"/>
        </w:rPr>
        <w:t>інвестиційно</w:t>
      </w:r>
      <w:proofErr w:type="spellEnd"/>
      <w:r w:rsidRPr="00845566">
        <w:rPr>
          <w:lang w:val="uk-UA"/>
        </w:rPr>
        <w:t xml:space="preserve"> привабливими для нерезидентів є підприємства промисловості, в які вкладено 112,8  млн. дол. США іноземних інвестицій, з них 74,3 млн. дол. США – у переробну промисловість. Значні обсяги інвестицій внесено інвесторами у галузь оптової та роздрібної торгівлі – 45,8 млн. дол. США, транспорту – 31,2 млн. дол. США, будівництва – 30,7 млн. дол. США, сільського господарства – 19,7 млн. дол. США.</w:t>
      </w:r>
    </w:p>
    <w:p w:rsidR="00CA49FE" w:rsidRPr="00845566" w:rsidRDefault="00CA49FE" w:rsidP="007B19A1">
      <w:pPr>
        <w:spacing w:after="0"/>
        <w:ind w:firstLine="720"/>
        <w:jc w:val="center"/>
        <w:rPr>
          <w:b/>
          <w:bCs/>
          <w:lang w:val="uk-UA"/>
        </w:rPr>
      </w:pPr>
    </w:p>
    <w:p w:rsidR="00CA49FE" w:rsidRPr="00845566" w:rsidRDefault="00CA49FE" w:rsidP="007B19A1">
      <w:pPr>
        <w:spacing w:after="0"/>
        <w:ind w:firstLine="720"/>
        <w:jc w:val="center"/>
        <w:rPr>
          <w:b/>
          <w:bCs/>
          <w:lang w:val="uk-UA"/>
        </w:rPr>
      </w:pPr>
    </w:p>
    <w:p w:rsidR="00CA49FE" w:rsidRPr="00845566" w:rsidRDefault="00CA49FE" w:rsidP="007B19A1">
      <w:pPr>
        <w:spacing w:after="0"/>
        <w:ind w:firstLine="720"/>
        <w:jc w:val="center"/>
        <w:rPr>
          <w:b/>
          <w:bCs/>
          <w:lang w:val="uk-UA"/>
        </w:rPr>
      </w:pPr>
    </w:p>
    <w:p w:rsidR="005A7754" w:rsidRPr="00845566" w:rsidRDefault="00DB07BD" w:rsidP="007B19A1">
      <w:pPr>
        <w:spacing w:after="0"/>
        <w:ind w:firstLine="720"/>
        <w:jc w:val="center"/>
        <w:rPr>
          <w:b/>
          <w:lang w:val="uk-UA"/>
        </w:rPr>
      </w:pPr>
      <w:r w:rsidRPr="00845566">
        <w:rPr>
          <w:b/>
          <w:bCs/>
          <w:lang w:val="uk-UA"/>
        </w:rPr>
        <w:lastRenderedPageBreak/>
        <w:t>Прямі іноземні інвестиції, вкладені в економіку Рівненської області</w:t>
      </w:r>
      <w:r w:rsidR="00391786" w:rsidRPr="00845566">
        <w:rPr>
          <w:b/>
          <w:bCs/>
          <w:lang w:val="uk-UA"/>
        </w:rPr>
        <w:t>,</w:t>
      </w:r>
      <w:r w:rsidRPr="00845566">
        <w:rPr>
          <w:b/>
          <w:bCs/>
          <w:lang w:val="uk-UA"/>
        </w:rPr>
        <w:t xml:space="preserve"> за видами економічної діяльності </w:t>
      </w:r>
      <w:r w:rsidR="00877534" w:rsidRPr="00845566">
        <w:rPr>
          <w:b/>
          <w:lang w:val="uk-UA"/>
        </w:rPr>
        <w:t>(млн. дол. США)</w:t>
      </w:r>
      <w:r w:rsidRPr="00845566">
        <w:rPr>
          <w:b/>
          <w:lang w:val="uk-UA"/>
        </w:rPr>
        <w:t xml:space="preserve"> станом на 01.10.2015</w:t>
      </w:r>
    </w:p>
    <w:p w:rsidR="009C7708" w:rsidRPr="00845566" w:rsidRDefault="009C7708" w:rsidP="00DB07BD">
      <w:pPr>
        <w:spacing w:after="0"/>
        <w:ind w:firstLine="708"/>
        <w:jc w:val="center"/>
        <w:rPr>
          <w:lang w:val="uk-UA"/>
        </w:rPr>
      </w:pPr>
      <w:r w:rsidRPr="00845566">
        <w:rPr>
          <w:noProof/>
          <w:lang w:val="uk-UA" w:eastAsia="uk-UA"/>
        </w:rPr>
        <w:drawing>
          <wp:inline distT="0" distB="0" distL="0" distR="0">
            <wp:extent cx="5448300" cy="2362200"/>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2F0A" w:rsidRPr="00845566" w:rsidRDefault="00BB76DF" w:rsidP="002D1D5F">
      <w:pPr>
        <w:ind w:firstLine="709"/>
        <w:jc w:val="both"/>
        <w:rPr>
          <w:lang w:val="uk-UA"/>
        </w:rPr>
      </w:pPr>
      <w:r w:rsidRPr="00845566">
        <w:rPr>
          <w:color w:val="000000"/>
          <w:szCs w:val="26"/>
          <w:lang w:val="uk-UA"/>
        </w:rPr>
        <w:t>З метою</w:t>
      </w:r>
      <w:r w:rsidR="00C22F0A" w:rsidRPr="00845566">
        <w:rPr>
          <w:lang w:val="uk-UA"/>
        </w:rPr>
        <w:t xml:space="preserve"> вдосконалення роботи з питань інвестиційної привабливості господарського комплексу області, поліпшення координації дій органів виконавчої влади щодо інвестиційного розвитку Рівненщини та налагодження ефективної співпраці місцевих органів виконавчої влади та органів місцевого самоврядування у створенні сприятливих умов для діяльності інвесторів, які реалізують інвестиційні, інноваційні та інфраструктурні проекти на території області, а також вирішення проблем, що виникають під час їх реалізації</w:t>
      </w:r>
      <w:r w:rsidR="000F6FA2" w:rsidRPr="00845566">
        <w:rPr>
          <w:lang w:val="uk-UA"/>
        </w:rPr>
        <w:t xml:space="preserve">, </w:t>
      </w:r>
      <w:r w:rsidR="005A7754" w:rsidRPr="00845566">
        <w:rPr>
          <w:lang w:val="uk-UA"/>
        </w:rPr>
        <w:t xml:space="preserve">розпорядженням голови облдержадміністрації від 07.05.2014 № 145 </w:t>
      </w:r>
      <w:r w:rsidR="00C22F0A" w:rsidRPr="00845566">
        <w:rPr>
          <w:lang w:val="uk-UA"/>
        </w:rPr>
        <w:t xml:space="preserve">створено </w:t>
      </w:r>
      <w:r w:rsidR="000F6FA2" w:rsidRPr="00845566">
        <w:rPr>
          <w:lang w:val="uk-UA"/>
        </w:rPr>
        <w:t>консультативно-дорадчий орган –</w:t>
      </w:r>
      <w:r w:rsidR="005751C1" w:rsidRPr="00845566">
        <w:rPr>
          <w:lang w:val="uk-UA"/>
        </w:rPr>
        <w:t xml:space="preserve"> р</w:t>
      </w:r>
      <w:r w:rsidR="00C22F0A" w:rsidRPr="00845566">
        <w:rPr>
          <w:lang w:val="uk-UA"/>
        </w:rPr>
        <w:t>обочу групу з питань залучення інвестицій в економіку Рівненської області. </w:t>
      </w:r>
    </w:p>
    <w:p w:rsidR="00247A73" w:rsidRPr="00845566" w:rsidRDefault="00877534" w:rsidP="005A78EC">
      <w:pPr>
        <w:pStyle w:val="1"/>
        <w:spacing w:before="0" w:after="240" w:line="240" w:lineRule="auto"/>
        <w:jc w:val="center"/>
        <w:rPr>
          <w:rFonts w:ascii="Times New Roman" w:hAnsi="Times New Roman" w:cs="Times New Roman"/>
          <w:b w:val="0"/>
          <w:bCs w:val="0"/>
          <w:color w:val="000000" w:themeColor="text1"/>
          <w:lang w:val="uk-UA"/>
        </w:rPr>
      </w:pPr>
      <w:r w:rsidRPr="00845566">
        <w:rPr>
          <w:rFonts w:ascii="Times New Roman" w:hAnsi="Times New Roman" w:cs="Times New Roman"/>
          <w:color w:val="000000" w:themeColor="text1"/>
          <w:lang w:val="uk-UA"/>
        </w:rPr>
        <w:t>ІІІ</w:t>
      </w:r>
      <w:r w:rsidR="00247A73" w:rsidRPr="00845566">
        <w:rPr>
          <w:rFonts w:ascii="Times New Roman" w:hAnsi="Times New Roman" w:cs="Times New Roman"/>
          <w:color w:val="000000" w:themeColor="text1"/>
          <w:lang w:val="uk-UA"/>
        </w:rPr>
        <w:t>.</w:t>
      </w:r>
      <w:r w:rsidR="00F5134B" w:rsidRPr="00845566">
        <w:rPr>
          <w:rFonts w:ascii="Times New Roman" w:hAnsi="Times New Roman" w:cs="Times New Roman"/>
          <w:color w:val="000000" w:themeColor="text1"/>
          <w:lang w:val="uk-UA"/>
        </w:rPr>
        <w:t xml:space="preserve"> </w:t>
      </w:r>
      <w:r w:rsidR="00247A73" w:rsidRPr="00845566">
        <w:rPr>
          <w:rFonts w:ascii="Times New Roman" w:hAnsi="Times New Roman" w:cs="Times New Roman"/>
          <w:color w:val="000000" w:themeColor="text1"/>
          <w:lang w:val="uk-UA"/>
        </w:rPr>
        <w:t>Інвестиційні пріоритети Рівненської області</w:t>
      </w:r>
    </w:p>
    <w:p w:rsidR="00247A73" w:rsidRPr="00845566" w:rsidRDefault="00247A73" w:rsidP="005A78EC">
      <w:pPr>
        <w:spacing w:after="0"/>
        <w:ind w:firstLine="720"/>
        <w:jc w:val="both"/>
        <w:rPr>
          <w:lang w:val="uk-UA" w:eastAsia="ru-RU"/>
        </w:rPr>
      </w:pPr>
      <w:r w:rsidRPr="00845566">
        <w:rPr>
          <w:lang w:val="uk-UA" w:eastAsia="ru-RU"/>
        </w:rPr>
        <w:t xml:space="preserve">З </w:t>
      </w:r>
      <w:r w:rsidR="000F6FA2" w:rsidRPr="00845566">
        <w:rPr>
          <w:lang w:val="uk-UA" w:eastAsia="ru-RU"/>
        </w:rPr>
        <w:t>у</w:t>
      </w:r>
      <w:r w:rsidRPr="00845566">
        <w:rPr>
          <w:lang w:val="uk-UA" w:eastAsia="ru-RU"/>
        </w:rPr>
        <w:t xml:space="preserve">рахуванням детального опрацювання проблем і перспектив галузей господарського комплексу і соціальної сфери районів та міст області визначено </w:t>
      </w:r>
      <w:r w:rsidR="005A7754" w:rsidRPr="00845566">
        <w:rPr>
          <w:lang w:val="uk-UA" w:eastAsia="ru-RU"/>
        </w:rPr>
        <w:t xml:space="preserve">основні </w:t>
      </w:r>
      <w:r w:rsidR="00F5134B" w:rsidRPr="00845566">
        <w:rPr>
          <w:lang w:val="uk-UA" w:eastAsia="ru-RU"/>
        </w:rPr>
        <w:t>і</w:t>
      </w:r>
      <w:r w:rsidR="00F5134B" w:rsidRPr="00845566">
        <w:rPr>
          <w:bCs/>
          <w:color w:val="000000" w:themeColor="text1"/>
          <w:lang w:val="uk-UA" w:eastAsia="ru-RU"/>
        </w:rPr>
        <w:t xml:space="preserve">нвестиційні пріоритети </w:t>
      </w:r>
      <w:r w:rsidRPr="00845566">
        <w:rPr>
          <w:lang w:val="uk-UA" w:eastAsia="ru-RU"/>
        </w:rPr>
        <w:t>області:</w:t>
      </w:r>
    </w:p>
    <w:p w:rsidR="00A40389" w:rsidRPr="00845566" w:rsidRDefault="00F96D72" w:rsidP="005A78EC">
      <w:pPr>
        <w:tabs>
          <w:tab w:val="left" w:pos="1134"/>
        </w:tabs>
        <w:spacing w:after="0"/>
        <w:ind w:firstLine="720"/>
        <w:jc w:val="both"/>
        <w:rPr>
          <w:lang w:val="uk-UA" w:eastAsia="ru-RU"/>
        </w:rPr>
      </w:pPr>
      <w:r w:rsidRPr="00845566">
        <w:rPr>
          <w:lang w:val="uk-UA" w:eastAsia="ru-RU"/>
        </w:rPr>
        <w:t xml:space="preserve">модернізація та розвиток виробничого сектору області з метою підвищення його </w:t>
      </w:r>
      <w:r w:rsidR="00F5134B" w:rsidRPr="00845566">
        <w:rPr>
          <w:lang w:val="uk-UA" w:eastAsia="ru-RU"/>
        </w:rPr>
        <w:t>конкурентоспроможно</w:t>
      </w:r>
      <w:r w:rsidR="005A78EC" w:rsidRPr="00845566">
        <w:rPr>
          <w:lang w:val="uk-UA" w:eastAsia="ru-RU"/>
        </w:rPr>
        <w:t>сті</w:t>
      </w:r>
      <w:r w:rsidR="00F5134B" w:rsidRPr="00845566">
        <w:rPr>
          <w:lang w:val="uk-UA" w:eastAsia="ru-RU"/>
        </w:rPr>
        <w:t xml:space="preserve"> на</w:t>
      </w:r>
      <w:r w:rsidR="005A78EC" w:rsidRPr="00845566">
        <w:rPr>
          <w:lang w:val="uk-UA" w:eastAsia="ru-RU"/>
        </w:rPr>
        <w:t xml:space="preserve"> внутрішньому та</w:t>
      </w:r>
      <w:r w:rsidR="00F5134B" w:rsidRPr="00845566">
        <w:rPr>
          <w:lang w:val="uk-UA" w:eastAsia="ru-RU"/>
        </w:rPr>
        <w:t xml:space="preserve"> зовнішньому ринк</w:t>
      </w:r>
      <w:r w:rsidR="005A78EC" w:rsidRPr="00845566">
        <w:rPr>
          <w:lang w:val="uk-UA" w:eastAsia="ru-RU"/>
        </w:rPr>
        <w:t>ах;</w:t>
      </w:r>
    </w:p>
    <w:p w:rsidR="005A78EC" w:rsidRPr="00845566" w:rsidRDefault="00FA5E30" w:rsidP="005A78EC">
      <w:pPr>
        <w:tabs>
          <w:tab w:val="left" w:pos="1134"/>
        </w:tabs>
        <w:spacing w:after="0"/>
        <w:ind w:firstLine="720"/>
        <w:jc w:val="both"/>
        <w:rPr>
          <w:lang w:val="uk-UA" w:eastAsia="ru-RU"/>
        </w:rPr>
      </w:pPr>
      <w:r w:rsidRPr="00845566">
        <w:rPr>
          <w:lang w:val="uk-UA" w:eastAsia="ru-RU"/>
        </w:rPr>
        <w:t>з</w:t>
      </w:r>
      <w:r w:rsidR="00F5134B" w:rsidRPr="00845566">
        <w:rPr>
          <w:lang w:val="uk-UA" w:eastAsia="ru-RU"/>
        </w:rPr>
        <w:t>абезпечення комплексного використання природних сировинних ресурсів області</w:t>
      </w:r>
      <w:r w:rsidR="005A78EC" w:rsidRPr="00845566">
        <w:rPr>
          <w:lang w:val="uk-UA" w:eastAsia="ru-RU"/>
        </w:rPr>
        <w:t>;</w:t>
      </w:r>
    </w:p>
    <w:p w:rsidR="00A40389" w:rsidRPr="00845566" w:rsidRDefault="005A78EC" w:rsidP="005A78EC">
      <w:pPr>
        <w:tabs>
          <w:tab w:val="left" w:pos="1134"/>
        </w:tabs>
        <w:spacing w:after="0"/>
        <w:ind w:firstLine="720"/>
        <w:jc w:val="both"/>
        <w:rPr>
          <w:lang w:val="uk-UA" w:eastAsia="ru-RU"/>
        </w:rPr>
      </w:pPr>
      <w:r w:rsidRPr="00845566">
        <w:rPr>
          <w:lang w:val="uk-UA" w:eastAsia="ru-RU"/>
        </w:rPr>
        <w:t>поліпшення ситуації у сфері зайнятості населення та рівня його доходів.</w:t>
      </w:r>
    </w:p>
    <w:p w:rsidR="00F5134B" w:rsidRPr="00845566" w:rsidRDefault="00F5134B" w:rsidP="002D1D5F">
      <w:pPr>
        <w:spacing w:after="0"/>
        <w:ind w:firstLine="720"/>
        <w:jc w:val="both"/>
        <w:rPr>
          <w:lang w:val="uk-UA" w:eastAsia="ru-RU"/>
        </w:rPr>
      </w:pPr>
    </w:p>
    <w:p w:rsidR="00E710F7" w:rsidRPr="00845566" w:rsidRDefault="00E710F7" w:rsidP="005A78EC">
      <w:pPr>
        <w:spacing w:after="240"/>
        <w:jc w:val="center"/>
        <w:rPr>
          <w:b/>
          <w:bCs/>
          <w:lang w:val="uk-UA"/>
        </w:rPr>
      </w:pPr>
    </w:p>
    <w:p w:rsidR="00247A73" w:rsidRPr="00845566" w:rsidRDefault="00877534" w:rsidP="005A78EC">
      <w:pPr>
        <w:spacing w:after="240"/>
        <w:jc w:val="center"/>
        <w:rPr>
          <w:b/>
          <w:bCs/>
          <w:lang w:val="uk-UA"/>
        </w:rPr>
      </w:pPr>
      <w:r w:rsidRPr="00845566">
        <w:rPr>
          <w:b/>
          <w:bCs/>
          <w:lang w:val="uk-UA"/>
        </w:rPr>
        <w:lastRenderedPageBreak/>
        <w:t>IV</w:t>
      </w:r>
      <w:r w:rsidR="00247A73" w:rsidRPr="00845566">
        <w:rPr>
          <w:b/>
          <w:bCs/>
          <w:lang w:val="uk-UA"/>
        </w:rPr>
        <w:t>. Фінансове забезпечення реалізації Програми</w:t>
      </w:r>
    </w:p>
    <w:p w:rsidR="00247A73" w:rsidRPr="00845566" w:rsidRDefault="00247A73" w:rsidP="005A78EC">
      <w:pPr>
        <w:spacing w:after="0"/>
        <w:ind w:firstLine="708"/>
        <w:jc w:val="both"/>
        <w:rPr>
          <w:lang w:val="uk-UA"/>
        </w:rPr>
      </w:pPr>
      <w:r w:rsidRPr="00845566">
        <w:rPr>
          <w:lang w:val="uk-UA"/>
        </w:rPr>
        <w:t xml:space="preserve">Заходи Програми реалізуються за рахунок коштів </w:t>
      </w:r>
      <w:r w:rsidR="00F5134B" w:rsidRPr="00845566">
        <w:rPr>
          <w:lang w:val="uk-UA"/>
        </w:rPr>
        <w:t xml:space="preserve">державного, </w:t>
      </w:r>
      <w:r w:rsidRPr="00845566">
        <w:rPr>
          <w:lang w:val="uk-UA"/>
        </w:rPr>
        <w:t>обласного</w:t>
      </w:r>
      <w:r w:rsidR="00F5134B" w:rsidRPr="00845566">
        <w:rPr>
          <w:lang w:val="uk-UA"/>
        </w:rPr>
        <w:t xml:space="preserve"> і </w:t>
      </w:r>
      <w:r w:rsidR="00987CFF" w:rsidRPr="00845566">
        <w:rPr>
          <w:lang w:val="uk-UA"/>
        </w:rPr>
        <w:t xml:space="preserve">місцевих бюджетів, </w:t>
      </w:r>
      <w:r w:rsidRPr="00845566">
        <w:rPr>
          <w:lang w:val="uk-UA"/>
        </w:rPr>
        <w:t xml:space="preserve">власних коштів </w:t>
      </w:r>
      <w:r w:rsidR="00286901" w:rsidRPr="00845566">
        <w:rPr>
          <w:lang w:val="uk-UA"/>
        </w:rPr>
        <w:t>виконавців</w:t>
      </w:r>
      <w:r w:rsidRPr="00845566">
        <w:rPr>
          <w:lang w:val="uk-UA"/>
        </w:rPr>
        <w:t xml:space="preserve">, коштів міжнародної технічної допомоги, а також інших джерел, визначених законодавством України з питань регулювання інвестиційної діяльності. </w:t>
      </w:r>
    </w:p>
    <w:p w:rsidR="00247A73" w:rsidRPr="00845566" w:rsidRDefault="00247A73" w:rsidP="005A78EC">
      <w:pPr>
        <w:spacing w:after="0"/>
        <w:ind w:firstLine="708"/>
        <w:jc w:val="both"/>
        <w:rPr>
          <w:lang w:val="uk-UA"/>
        </w:rPr>
      </w:pPr>
      <w:r w:rsidRPr="00845566">
        <w:rPr>
          <w:lang w:val="uk-UA"/>
        </w:rPr>
        <w:t xml:space="preserve">Головним розпорядником коштів обласного бюджету, виділених на реалізацію Програми, є </w:t>
      </w:r>
      <w:r w:rsidR="00987CFF" w:rsidRPr="00845566">
        <w:rPr>
          <w:lang w:val="uk-UA"/>
        </w:rPr>
        <w:t xml:space="preserve">департамент економічного розвитку і торгівлі </w:t>
      </w:r>
      <w:r w:rsidRPr="00845566">
        <w:rPr>
          <w:lang w:val="uk-UA"/>
        </w:rPr>
        <w:t>Рівненської обласної державної адміністрації.</w:t>
      </w:r>
    </w:p>
    <w:p w:rsidR="00247A73" w:rsidRPr="00845566" w:rsidRDefault="00247A73" w:rsidP="005A78EC">
      <w:pPr>
        <w:spacing w:after="0"/>
        <w:ind w:firstLine="708"/>
        <w:jc w:val="both"/>
        <w:rPr>
          <w:lang w:val="uk-UA"/>
        </w:rPr>
      </w:pPr>
      <w:r w:rsidRPr="00845566">
        <w:rPr>
          <w:lang w:val="uk-UA"/>
        </w:rPr>
        <w:t xml:space="preserve">Загальна розрахункова потреба в коштах </w:t>
      </w:r>
      <w:r w:rsidR="00F5134B" w:rsidRPr="00845566">
        <w:rPr>
          <w:lang w:val="uk-UA"/>
        </w:rPr>
        <w:t xml:space="preserve">обласного бюджету </w:t>
      </w:r>
      <w:r w:rsidR="000F6FA2" w:rsidRPr="00845566">
        <w:rPr>
          <w:lang w:val="uk-UA"/>
        </w:rPr>
        <w:t>для</w:t>
      </w:r>
      <w:r w:rsidRPr="00845566">
        <w:rPr>
          <w:lang w:val="uk-UA"/>
        </w:rPr>
        <w:t xml:space="preserve"> виконання заходів Програми на період з 201</w:t>
      </w:r>
      <w:r w:rsidR="00987CFF" w:rsidRPr="00845566">
        <w:rPr>
          <w:lang w:val="uk-UA"/>
        </w:rPr>
        <w:t>6</w:t>
      </w:r>
      <w:r w:rsidRPr="00845566">
        <w:rPr>
          <w:lang w:val="uk-UA"/>
        </w:rPr>
        <w:t xml:space="preserve"> по 201</w:t>
      </w:r>
      <w:r w:rsidR="00987CFF" w:rsidRPr="00845566">
        <w:rPr>
          <w:lang w:val="uk-UA"/>
        </w:rPr>
        <w:t>8</w:t>
      </w:r>
      <w:r w:rsidRPr="00845566">
        <w:rPr>
          <w:lang w:val="uk-UA"/>
        </w:rPr>
        <w:t xml:space="preserve"> рік становить </w:t>
      </w:r>
      <w:r w:rsidR="00F5134B" w:rsidRPr="00845566">
        <w:rPr>
          <w:lang w:val="uk-UA"/>
        </w:rPr>
        <w:br/>
      </w:r>
      <w:r w:rsidR="000F6FA2" w:rsidRPr="00845566">
        <w:rPr>
          <w:lang w:val="uk-UA"/>
        </w:rPr>
        <w:t>1</w:t>
      </w:r>
      <w:r w:rsidR="000A6F2D" w:rsidRPr="00845566">
        <w:rPr>
          <w:lang w:val="uk-UA"/>
        </w:rPr>
        <w:t>310</w:t>
      </w:r>
      <w:r w:rsidR="00987CFF" w:rsidRPr="00845566">
        <w:rPr>
          <w:lang w:val="uk-UA"/>
        </w:rPr>
        <w:t xml:space="preserve"> </w:t>
      </w:r>
      <w:r w:rsidRPr="00845566">
        <w:rPr>
          <w:lang w:val="uk-UA"/>
        </w:rPr>
        <w:t>тис. гривень.</w:t>
      </w:r>
    </w:p>
    <w:p w:rsidR="00247A73" w:rsidRPr="00845566" w:rsidRDefault="00247A73" w:rsidP="005A78EC">
      <w:pPr>
        <w:spacing w:after="0"/>
        <w:ind w:firstLine="708"/>
        <w:jc w:val="both"/>
        <w:rPr>
          <w:lang w:val="uk-UA"/>
        </w:rPr>
      </w:pPr>
      <w:r w:rsidRPr="00845566">
        <w:rPr>
          <w:lang w:val="uk-UA"/>
        </w:rPr>
        <w:t>Фінансування заходів Програми в період з 201</w:t>
      </w:r>
      <w:r w:rsidR="00987CFF" w:rsidRPr="00845566">
        <w:rPr>
          <w:lang w:val="uk-UA"/>
        </w:rPr>
        <w:t>6</w:t>
      </w:r>
      <w:r w:rsidRPr="00845566">
        <w:rPr>
          <w:lang w:val="uk-UA"/>
        </w:rPr>
        <w:t xml:space="preserve"> по 201</w:t>
      </w:r>
      <w:r w:rsidR="00987CFF" w:rsidRPr="00845566">
        <w:rPr>
          <w:lang w:val="uk-UA"/>
        </w:rPr>
        <w:t>8</w:t>
      </w:r>
      <w:r w:rsidRPr="00845566">
        <w:rPr>
          <w:lang w:val="uk-UA"/>
        </w:rPr>
        <w:t xml:space="preserve"> рік буде здійснюватись відповідно до наявних бюджетних призначень.</w:t>
      </w:r>
    </w:p>
    <w:p w:rsidR="00247A73" w:rsidRPr="00845566" w:rsidRDefault="00247A73" w:rsidP="002D1D5F">
      <w:pPr>
        <w:spacing w:after="0"/>
        <w:jc w:val="center"/>
        <w:rPr>
          <w:b/>
          <w:bCs/>
          <w:lang w:val="uk-UA"/>
        </w:rPr>
      </w:pPr>
    </w:p>
    <w:p w:rsidR="00247A73" w:rsidRPr="00845566" w:rsidRDefault="00877534" w:rsidP="005A78EC">
      <w:pPr>
        <w:jc w:val="center"/>
        <w:rPr>
          <w:b/>
          <w:bCs/>
          <w:lang w:val="uk-UA"/>
        </w:rPr>
      </w:pPr>
      <w:r w:rsidRPr="00845566">
        <w:rPr>
          <w:b/>
          <w:bCs/>
          <w:lang w:val="uk-UA"/>
        </w:rPr>
        <w:t>V</w:t>
      </w:r>
      <w:r w:rsidR="00247A73" w:rsidRPr="00845566">
        <w:rPr>
          <w:b/>
          <w:bCs/>
          <w:lang w:val="uk-UA"/>
        </w:rPr>
        <w:t>. Механізми управління реалізацією Програми та прогноз її результативності</w:t>
      </w:r>
    </w:p>
    <w:p w:rsidR="00247A73" w:rsidRPr="00845566" w:rsidRDefault="00247A73" w:rsidP="002D1D5F">
      <w:pPr>
        <w:spacing w:after="0"/>
        <w:ind w:firstLine="708"/>
        <w:jc w:val="both"/>
        <w:rPr>
          <w:lang w:val="uk-UA"/>
        </w:rPr>
      </w:pPr>
      <w:r w:rsidRPr="00845566">
        <w:rPr>
          <w:lang w:val="uk-UA"/>
        </w:rPr>
        <w:t>Координацію діяльності органів виконавчої влади та органів місцевого самоврядування, підприємств, установ та організацій області, інших причетних структур щодо виконання Програми здійснює облдержадміністрація.</w:t>
      </w:r>
    </w:p>
    <w:p w:rsidR="00247A73" w:rsidRPr="00845566" w:rsidRDefault="00247A73" w:rsidP="002D1D5F">
      <w:pPr>
        <w:spacing w:after="0"/>
        <w:ind w:firstLine="708"/>
        <w:jc w:val="both"/>
        <w:rPr>
          <w:lang w:val="uk-UA"/>
        </w:rPr>
      </w:pPr>
      <w:r w:rsidRPr="00845566">
        <w:rPr>
          <w:lang w:val="uk-UA"/>
        </w:rPr>
        <w:t xml:space="preserve">Аналіз та поточний контроль ходу реалізації Програми покладено на </w:t>
      </w:r>
      <w:r w:rsidR="00987CFF" w:rsidRPr="00845566">
        <w:rPr>
          <w:lang w:val="uk-UA"/>
        </w:rPr>
        <w:t xml:space="preserve">департамент економічного розвитку і торгівлі </w:t>
      </w:r>
      <w:r w:rsidRPr="00845566">
        <w:rPr>
          <w:lang w:val="uk-UA"/>
        </w:rPr>
        <w:t>облдержадміністрації.</w:t>
      </w:r>
    </w:p>
    <w:p w:rsidR="00247A73" w:rsidRPr="00845566" w:rsidRDefault="00247A73" w:rsidP="002D1D5F">
      <w:pPr>
        <w:spacing w:after="0"/>
        <w:ind w:firstLine="708"/>
        <w:jc w:val="both"/>
        <w:rPr>
          <w:lang w:val="uk-UA"/>
        </w:rPr>
      </w:pPr>
      <w:r w:rsidRPr="00845566">
        <w:rPr>
          <w:lang w:val="uk-UA"/>
        </w:rPr>
        <w:t xml:space="preserve">Організаційно-методичне забезпечення реалізації Програми здійснює </w:t>
      </w:r>
      <w:r w:rsidR="00987CFF" w:rsidRPr="00845566">
        <w:rPr>
          <w:lang w:val="uk-UA"/>
        </w:rPr>
        <w:t>департамент економічного розвитку і торгівлі</w:t>
      </w:r>
      <w:r w:rsidRPr="00845566">
        <w:rPr>
          <w:lang w:val="uk-UA"/>
        </w:rPr>
        <w:t xml:space="preserve"> облдержадміністрації із залученням </w:t>
      </w:r>
      <w:r w:rsidR="005346C7" w:rsidRPr="00845566">
        <w:rPr>
          <w:lang w:val="uk-UA"/>
        </w:rPr>
        <w:t>причетних структурних підрозділів</w:t>
      </w:r>
      <w:r w:rsidR="005A7754" w:rsidRPr="00845566">
        <w:rPr>
          <w:lang w:val="uk-UA"/>
        </w:rPr>
        <w:t xml:space="preserve"> облдержадміністрації, райдержадміністрацій, виконкомів рад міст обласного значення, </w:t>
      </w:r>
      <w:r w:rsidRPr="00845566">
        <w:rPr>
          <w:lang w:val="uk-UA"/>
        </w:rPr>
        <w:t>Рівненської агенції із залучення інвестицій та обслуговування інвесторів «</w:t>
      </w:r>
      <w:proofErr w:type="spellStart"/>
      <w:r w:rsidRPr="00845566">
        <w:rPr>
          <w:lang w:val="uk-UA"/>
        </w:rPr>
        <w:t>ІнвестІнРівне</w:t>
      </w:r>
      <w:proofErr w:type="spellEnd"/>
      <w:r w:rsidRPr="00845566">
        <w:rPr>
          <w:lang w:val="uk-UA"/>
        </w:rPr>
        <w:t>»</w:t>
      </w:r>
      <w:r w:rsidR="005A7754" w:rsidRPr="00845566">
        <w:rPr>
          <w:lang w:val="uk-UA"/>
        </w:rPr>
        <w:t xml:space="preserve"> та Західноукраїнської регіональної непідприємницької громадської організації «Волинський ресурсний центр»</w:t>
      </w:r>
      <w:r w:rsidRPr="00845566">
        <w:rPr>
          <w:lang w:val="uk-UA"/>
        </w:rPr>
        <w:t>.</w:t>
      </w:r>
    </w:p>
    <w:p w:rsidR="00247A73" w:rsidRPr="00845566" w:rsidRDefault="00247A73" w:rsidP="002D1D5F">
      <w:pPr>
        <w:spacing w:after="0"/>
        <w:ind w:firstLine="708"/>
        <w:jc w:val="both"/>
        <w:rPr>
          <w:lang w:val="uk-UA"/>
        </w:rPr>
      </w:pPr>
      <w:r w:rsidRPr="00845566">
        <w:rPr>
          <w:lang w:val="uk-UA"/>
        </w:rPr>
        <w:t>Хід реалізації Програми періодично розглядатиметься на засіданнях відповідних дорадчих органів облдержадміністрації.</w:t>
      </w:r>
    </w:p>
    <w:p w:rsidR="00247A73" w:rsidRPr="00845566" w:rsidRDefault="00247A73" w:rsidP="002D1D5F">
      <w:pPr>
        <w:spacing w:after="0"/>
        <w:ind w:firstLine="708"/>
        <w:jc w:val="both"/>
        <w:rPr>
          <w:lang w:val="uk-UA"/>
        </w:rPr>
      </w:pPr>
      <w:r w:rsidRPr="00845566">
        <w:rPr>
          <w:lang w:val="uk-UA"/>
        </w:rPr>
        <w:t xml:space="preserve">На підставі інформації виконавців Програми </w:t>
      </w:r>
      <w:r w:rsidR="00987CFF" w:rsidRPr="00845566">
        <w:rPr>
          <w:lang w:val="uk-UA"/>
        </w:rPr>
        <w:t xml:space="preserve">департаментом економічного розвитку і торгівлі </w:t>
      </w:r>
      <w:r w:rsidR="00A82736" w:rsidRPr="00845566">
        <w:rPr>
          <w:lang w:val="uk-UA"/>
        </w:rPr>
        <w:t>облдержадміністрації</w:t>
      </w:r>
      <w:r w:rsidRPr="00845566">
        <w:rPr>
          <w:lang w:val="uk-UA"/>
        </w:rPr>
        <w:t xml:space="preserve"> подається облдержадміністрації щокварталу узагальнений звіт про хід її реалізації.</w:t>
      </w:r>
    </w:p>
    <w:p w:rsidR="002355C2" w:rsidRPr="00845566" w:rsidRDefault="002355C2" w:rsidP="002D1D5F">
      <w:pPr>
        <w:widowControl w:val="0"/>
        <w:autoSpaceDE w:val="0"/>
        <w:autoSpaceDN w:val="0"/>
        <w:adjustRightInd w:val="0"/>
        <w:spacing w:after="0"/>
        <w:ind w:firstLine="708"/>
        <w:jc w:val="both"/>
        <w:rPr>
          <w:lang w:val="uk-UA"/>
        </w:rPr>
      </w:pPr>
      <w:r w:rsidRPr="00845566">
        <w:rPr>
          <w:lang w:val="uk-UA"/>
        </w:rPr>
        <w:t xml:space="preserve">Очікуваним результатом виконання Програми є: </w:t>
      </w:r>
    </w:p>
    <w:p w:rsidR="002355C2" w:rsidRPr="00845566" w:rsidRDefault="002355C2" w:rsidP="002D1D5F">
      <w:pPr>
        <w:widowControl w:val="0"/>
        <w:tabs>
          <w:tab w:val="left" w:pos="993"/>
        </w:tabs>
        <w:autoSpaceDE w:val="0"/>
        <w:autoSpaceDN w:val="0"/>
        <w:adjustRightInd w:val="0"/>
        <w:spacing w:after="0"/>
        <w:ind w:firstLine="720"/>
        <w:jc w:val="both"/>
        <w:rPr>
          <w:lang w:val="uk-UA"/>
        </w:rPr>
      </w:pPr>
      <w:r w:rsidRPr="00845566">
        <w:rPr>
          <w:lang w:val="uk-UA"/>
        </w:rPr>
        <w:t xml:space="preserve">зростання загального обсягу </w:t>
      </w:r>
      <w:r w:rsidR="005346C7" w:rsidRPr="00845566">
        <w:rPr>
          <w:lang w:val="uk-UA"/>
        </w:rPr>
        <w:t xml:space="preserve">внутрішніх та </w:t>
      </w:r>
      <w:r w:rsidRPr="00845566">
        <w:rPr>
          <w:lang w:val="uk-UA"/>
        </w:rPr>
        <w:t>іноземних інвестицій в економіку Рівненської області;</w:t>
      </w:r>
    </w:p>
    <w:p w:rsidR="002355C2" w:rsidRPr="00845566" w:rsidRDefault="002355C2" w:rsidP="002D1D5F">
      <w:pPr>
        <w:widowControl w:val="0"/>
        <w:tabs>
          <w:tab w:val="left" w:pos="993"/>
        </w:tabs>
        <w:autoSpaceDE w:val="0"/>
        <w:autoSpaceDN w:val="0"/>
        <w:adjustRightInd w:val="0"/>
        <w:spacing w:after="0"/>
        <w:ind w:firstLine="720"/>
        <w:jc w:val="both"/>
        <w:rPr>
          <w:lang w:val="uk-UA"/>
        </w:rPr>
      </w:pPr>
      <w:r w:rsidRPr="00845566">
        <w:rPr>
          <w:lang w:val="uk-UA"/>
        </w:rPr>
        <w:lastRenderedPageBreak/>
        <w:t>зростання позитивного інвестиційного іміджу Рівненської області;</w:t>
      </w:r>
    </w:p>
    <w:p w:rsidR="002355C2" w:rsidRPr="00845566" w:rsidRDefault="002355C2" w:rsidP="002D1D5F">
      <w:pPr>
        <w:widowControl w:val="0"/>
        <w:tabs>
          <w:tab w:val="left" w:pos="993"/>
        </w:tabs>
        <w:autoSpaceDE w:val="0"/>
        <w:autoSpaceDN w:val="0"/>
        <w:adjustRightInd w:val="0"/>
        <w:spacing w:after="0"/>
        <w:ind w:firstLine="720"/>
        <w:jc w:val="both"/>
        <w:rPr>
          <w:lang w:val="uk-UA"/>
        </w:rPr>
      </w:pPr>
      <w:r w:rsidRPr="00845566">
        <w:rPr>
          <w:lang w:val="uk-UA"/>
        </w:rPr>
        <w:t>налагодження нових ділових контактів з потенційними інвесторами;</w:t>
      </w:r>
    </w:p>
    <w:p w:rsidR="002355C2" w:rsidRPr="00845566" w:rsidRDefault="002355C2" w:rsidP="002D1D5F">
      <w:pPr>
        <w:widowControl w:val="0"/>
        <w:tabs>
          <w:tab w:val="left" w:pos="993"/>
        </w:tabs>
        <w:autoSpaceDE w:val="0"/>
        <w:autoSpaceDN w:val="0"/>
        <w:adjustRightInd w:val="0"/>
        <w:spacing w:after="0"/>
        <w:ind w:firstLine="720"/>
        <w:jc w:val="both"/>
        <w:rPr>
          <w:lang w:val="uk-UA"/>
        </w:rPr>
      </w:pPr>
      <w:r w:rsidRPr="00845566">
        <w:rPr>
          <w:lang w:val="uk-UA"/>
        </w:rPr>
        <w:t>зростання обсягів виробництва продукції;</w:t>
      </w:r>
    </w:p>
    <w:p w:rsidR="002355C2" w:rsidRPr="00845566" w:rsidRDefault="002355C2" w:rsidP="002D1D5F">
      <w:pPr>
        <w:widowControl w:val="0"/>
        <w:tabs>
          <w:tab w:val="left" w:pos="993"/>
        </w:tabs>
        <w:autoSpaceDE w:val="0"/>
        <w:autoSpaceDN w:val="0"/>
        <w:adjustRightInd w:val="0"/>
        <w:spacing w:after="0"/>
        <w:ind w:firstLine="720"/>
        <w:jc w:val="both"/>
        <w:rPr>
          <w:lang w:val="uk-UA"/>
        </w:rPr>
      </w:pPr>
      <w:r w:rsidRPr="00845566">
        <w:rPr>
          <w:lang w:val="uk-UA"/>
        </w:rPr>
        <w:t>створення умов для сталого розвитку регіону, підвищення рівня життя населення, подолання безробіття;</w:t>
      </w:r>
    </w:p>
    <w:p w:rsidR="002355C2" w:rsidRPr="00845566" w:rsidRDefault="002355C2" w:rsidP="002D1D5F">
      <w:pPr>
        <w:widowControl w:val="0"/>
        <w:tabs>
          <w:tab w:val="left" w:pos="993"/>
        </w:tabs>
        <w:autoSpaceDE w:val="0"/>
        <w:autoSpaceDN w:val="0"/>
        <w:adjustRightInd w:val="0"/>
        <w:spacing w:after="0"/>
        <w:ind w:firstLine="720"/>
        <w:jc w:val="both"/>
        <w:rPr>
          <w:lang w:val="uk-UA"/>
        </w:rPr>
      </w:pPr>
      <w:r w:rsidRPr="00845566">
        <w:rPr>
          <w:lang w:val="uk-UA"/>
        </w:rPr>
        <w:t>підвищення обізнаності міжнародної економічної спільноти стосовно інвестиційного потенціалу Рівненської області.</w:t>
      </w:r>
    </w:p>
    <w:p w:rsidR="00247A73" w:rsidRPr="00845566" w:rsidRDefault="00247A73" w:rsidP="002D1D5F">
      <w:pPr>
        <w:tabs>
          <w:tab w:val="num" w:pos="0"/>
          <w:tab w:val="left" w:pos="993"/>
        </w:tabs>
        <w:spacing w:after="0"/>
        <w:jc w:val="both"/>
        <w:rPr>
          <w:lang w:val="uk-UA"/>
        </w:rPr>
      </w:pPr>
    </w:p>
    <w:sectPr w:rsidR="00247A73" w:rsidRPr="00845566" w:rsidSect="00E710F7">
      <w:headerReference w:type="default" r:id="rId10"/>
      <w:pgSz w:w="11906" w:h="16838"/>
      <w:pgMar w:top="1134" w:right="851" w:bottom="1134" w:left="1701" w:header="709" w:footer="66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D30" w:rsidRDefault="00AA3D30" w:rsidP="007827D8">
      <w:pPr>
        <w:spacing w:after="0" w:line="240" w:lineRule="auto"/>
      </w:pPr>
      <w:r>
        <w:separator/>
      </w:r>
    </w:p>
  </w:endnote>
  <w:endnote w:type="continuationSeparator" w:id="0">
    <w:p w:rsidR="00AA3D30" w:rsidRDefault="00AA3D30" w:rsidP="0078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D30" w:rsidRDefault="00AA3D30" w:rsidP="007827D8">
      <w:pPr>
        <w:spacing w:after="0" w:line="240" w:lineRule="auto"/>
      </w:pPr>
      <w:r>
        <w:separator/>
      </w:r>
    </w:p>
  </w:footnote>
  <w:footnote w:type="continuationSeparator" w:id="0">
    <w:p w:rsidR="00AA3D30" w:rsidRDefault="00AA3D30" w:rsidP="00782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6" w:rsidRDefault="003269A9">
    <w:pPr>
      <w:pStyle w:val="a3"/>
      <w:jc w:val="center"/>
    </w:pPr>
    <w:fldSimple w:instr="PAGE   \* MERGEFORMAT">
      <w:r w:rsidR="00580123">
        <w:rPr>
          <w:noProof/>
        </w:rPr>
        <w:t>5</w:t>
      </w:r>
    </w:fldSimple>
  </w:p>
  <w:p w:rsidR="00391786" w:rsidRDefault="003917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827"/>
    <w:multiLevelType w:val="hybridMultilevel"/>
    <w:tmpl w:val="F310707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0A922B88"/>
    <w:multiLevelType w:val="hybridMultilevel"/>
    <w:tmpl w:val="5180212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B32794"/>
    <w:multiLevelType w:val="hybridMultilevel"/>
    <w:tmpl w:val="297E444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1A527C76"/>
    <w:multiLevelType w:val="hybridMultilevel"/>
    <w:tmpl w:val="5180212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2F7C02"/>
    <w:multiLevelType w:val="hybridMultilevel"/>
    <w:tmpl w:val="425C2F18"/>
    <w:lvl w:ilvl="0" w:tplc="1B20EBA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1DD81140"/>
    <w:multiLevelType w:val="hybridMultilevel"/>
    <w:tmpl w:val="13DC4BFE"/>
    <w:lvl w:ilvl="0" w:tplc="8F10E216">
      <w:numFmt w:val="bullet"/>
      <w:lvlText w:val="-"/>
      <w:lvlJc w:val="left"/>
      <w:pPr>
        <w:tabs>
          <w:tab w:val="num" w:pos="1607"/>
        </w:tabs>
        <w:ind w:left="1607" w:hanging="539"/>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F5A015F"/>
    <w:multiLevelType w:val="hybridMultilevel"/>
    <w:tmpl w:val="8AB47ED0"/>
    <w:lvl w:ilvl="0" w:tplc="08F052BC">
      <w:start w:val="1"/>
      <w:numFmt w:val="bullet"/>
      <w:lvlText w:val=""/>
      <w:lvlJc w:val="left"/>
      <w:pPr>
        <w:tabs>
          <w:tab w:val="num" w:pos="765"/>
        </w:tabs>
        <w:ind w:left="765" w:hanging="360"/>
      </w:pPr>
      <w:rPr>
        <w:rFonts w:ascii="Symbol" w:hAnsi="Symbol" w:cs="Symbol" w:hint="default"/>
        <w:color w:val="auto"/>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cs="Wingdings" w:hint="default"/>
      </w:rPr>
    </w:lvl>
    <w:lvl w:ilvl="3" w:tplc="04190001">
      <w:start w:val="1"/>
      <w:numFmt w:val="bullet"/>
      <w:lvlText w:val=""/>
      <w:lvlJc w:val="left"/>
      <w:pPr>
        <w:tabs>
          <w:tab w:val="num" w:pos="2925"/>
        </w:tabs>
        <w:ind w:left="2925" w:hanging="360"/>
      </w:pPr>
      <w:rPr>
        <w:rFonts w:ascii="Symbol" w:hAnsi="Symbol" w:cs="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cs="Wingdings" w:hint="default"/>
      </w:rPr>
    </w:lvl>
    <w:lvl w:ilvl="6" w:tplc="04190001">
      <w:start w:val="1"/>
      <w:numFmt w:val="bullet"/>
      <w:lvlText w:val=""/>
      <w:lvlJc w:val="left"/>
      <w:pPr>
        <w:tabs>
          <w:tab w:val="num" w:pos="5085"/>
        </w:tabs>
        <w:ind w:left="5085" w:hanging="360"/>
      </w:pPr>
      <w:rPr>
        <w:rFonts w:ascii="Symbol" w:hAnsi="Symbol" w:cs="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cs="Wingdings" w:hint="default"/>
      </w:rPr>
    </w:lvl>
  </w:abstractNum>
  <w:abstractNum w:abstractNumId="7">
    <w:nsid w:val="246452BD"/>
    <w:multiLevelType w:val="hybridMultilevel"/>
    <w:tmpl w:val="A69AF76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27051EAD"/>
    <w:multiLevelType w:val="multilevel"/>
    <w:tmpl w:val="1018B3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DAC55E0"/>
    <w:multiLevelType w:val="hybridMultilevel"/>
    <w:tmpl w:val="AF48E37E"/>
    <w:lvl w:ilvl="0" w:tplc="1BB40F98">
      <w:start w:val="1"/>
      <w:numFmt w:val="decimal"/>
      <w:lvlText w:val="%1."/>
      <w:lvlJc w:val="left"/>
      <w:pPr>
        <w:tabs>
          <w:tab w:val="num" w:pos="360"/>
        </w:tabs>
        <w:ind w:left="360" w:hanging="360"/>
      </w:pPr>
      <w:rPr>
        <w:rFonts w:hint="default"/>
        <w:b w:val="0"/>
      </w:rPr>
    </w:lvl>
    <w:lvl w:ilvl="1" w:tplc="2B62A956">
      <w:start w:val="5"/>
      <w:numFmt w:val="decimal"/>
      <w:lvlText w:val="%2"/>
      <w:lvlJc w:val="left"/>
      <w:pPr>
        <w:tabs>
          <w:tab w:val="num" w:pos="1080"/>
        </w:tabs>
        <w:ind w:left="1080" w:hanging="360"/>
      </w:pPr>
      <w:rPr>
        <w:rFonts w:hint="default"/>
      </w:r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0">
    <w:nsid w:val="30C35BAA"/>
    <w:multiLevelType w:val="hybridMultilevel"/>
    <w:tmpl w:val="C07E36B6"/>
    <w:lvl w:ilvl="0" w:tplc="8CBEE76A">
      <w:start w:val="1"/>
      <w:numFmt w:val="bullet"/>
      <w:lvlText w:val=""/>
      <w:lvlJc w:val="left"/>
      <w:pPr>
        <w:ind w:left="862" w:hanging="360"/>
      </w:pPr>
      <w:rPr>
        <w:rFonts w:ascii="Symbol" w:hAnsi="Symbol" w:cs="Symbol" w:hint="default"/>
        <w:color w:val="auto"/>
      </w:rPr>
    </w:lvl>
    <w:lvl w:ilvl="1" w:tplc="04220003">
      <w:start w:val="1"/>
      <w:numFmt w:val="bullet"/>
      <w:lvlText w:val="o"/>
      <w:lvlJc w:val="left"/>
      <w:pPr>
        <w:ind w:left="1582" w:hanging="360"/>
      </w:pPr>
      <w:rPr>
        <w:rFonts w:ascii="Courier New" w:hAnsi="Courier New" w:cs="Courier New" w:hint="default"/>
      </w:rPr>
    </w:lvl>
    <w:lvl w:ilvl="2" w:tplc="04220005">
      <w:start w:val="1"/>
      <w:numFmt w:val="bullet"/>
      <w:lvlText w:val=""/>
      <w:lvlJc w:val="left"/>
      <w:pPr>
        <w:ind w:left="2302" w:hanging="360"/>
      </w:pPr>
      <w:rPr>
        <w:rFonts w:ascii="Wingdings" w:hAnsi="Wingdings" w:cs="Wingdings" w:hint="default"/>
      </w:rPr>
    </w:lvl>
    <w:lvl w:ilvl="3" w:tplc="04220001">
      <w:start w:val="1"/>
      <w:numFmt w:val="bullet"/>
      <w:lvlText w:val=""/>
      <w:lvlJc w:val="left"/>
      <w:pPr>
        <w:ind w:left="3022" w:hanging="360"/>
      </w:pPr>
      <w:rPr>
        <w:rFonts w:ascii="Symbol" w:hAnsi="Symbol" w:cs="Symbol" w:hint="default"/>
      </w:rPr>
    </w:lvl>
    <w:lvl w:ilvl="4" w:tplc="04220003">
      <w:start w:val="1"/>
      <w:numFmt w:val="bullet"/>
      <w:lvlText w:val="o"/>
      <w:lvlJc w:val="left"/>
      <w:pPr>
        <w:ind w:left="3742" w:hanging="360"/>
      </w:pPr>
      <w:rPr>
        <w:rFonts w:ascii="Courier New" w:hAnsi="Courier New" w:cs="Courier New" w:hint="default"/>
      </w:rPr>
    </w:lvl>
    <w:lvl w:ilvl="5" w:tplc="04220005">
      <w:start w:val="1"/>
      <w:numFmt w:val="bullet"/>
      <w:lvlText w:val=""/>
      <w:lvlJc w:val="left"/>
      <w:pPr>
        <w:ind w:left="4462" w:hanging="360"/>
      </w:pPr>
      <w:rPr>
        <w:rFonts w:ascii="Wingdings" w:hAnsi="Wingdings" w:cs="Wingdings" w:hint="default"/>
      </w:rPr>
    </w:lvl>
    <w:lvl w:ilvl="6" w:tplc="04220001">
      <w:start w:val="1"/>
      <w:numFmt w:val="bullet"/>
      <w:lvlText w:val=""/>
      <w:lvlJc w:val="left"/>
      <w:pPr>
        <w:ind w:left="5182" w:hanging="360"/>
      </w:pPr>
      <w:rPr>
        <w:rFonts w:ascii="Symbol" w:hAnsi="Symbol" w:cs="Symbol" w:hint="default"/>
      </w:rPr>
    </w:lvl>
    <w:lvl w:ilvl="7" w:tplc="04220003">
      <w:start w:val="1"/>
      <w:numFmt w:val="bullet"/>
      <w:lvlText w:val="o"/>
      <w:lvlJc w:val="left"/>
      <w:pPr>
        <w:ind w:left="5902" w:hanging="360"/>
      </w:pPr>
      <w:rPr>
        <w:rFonts w:ascii="Courier New" w:hAnsi="Courier New" w:cs="Courier New" w:hint="default"/>
      </w:rPr>
    </w:lvl>
    <w:lvl w:ilvl="8" w:tplc="04220005">
      <w:start w:val="1"/>
      <w:numFmt w:val="bullet"/>
      <w:lvlText w:val=""/>
      <w:lvlJc w:val="left"/>
      <w:pPr>
        <w:ind w:left="6622" w:hanging="360"/>
      </w:pPr>
      <w:rPr>
        <w:rFonts w:ascii="Wingdings" w:hAnsi="Wingdings" w:cs="Wingdings" w:hint="default"/>
      </w:rPr>
    </w:lvl>
  </w:abstractNum>
  <w:abstractNum w:abstractNumId="11">
    <w:nsid w:val="34E86A15"/>
    <w:multiLevelType w:val="hybridMultilevel"/>
    <w:tmpl w:val="DA2C796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417025AD"/>
    <w:multiLevelType w:val="hybridMultilevel"/>
    <w:tmpl w:val="3D8EEB7C"/>
    <w:lvl w:ilvl="0" w:tplc="1B20EBA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42514F8B"/>
    <w:multiLevelType w:val="multilevel"/>
    <w:tmpl w:val="43DCDDF6"/>
    <w:lvl w:ilvl="0">
      <w:start w:val="1"/>
      <w:numFmt w:val="decimal"/>
      <w:lvlText w:val="%1."/>
      <w:lvlJc w:val="left"/>
      <w:pPr>
        <w:tabs>
          <w:tab w:val="num" w:pos="1410"/>
        </w:tabs>
        <w:ind w:left="1410" w:hanging="69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4">
    <w:nsid w:val="51D823EB"/>
    <w:multiLevelType w:val="hybridMultilevel"/>
    <w:tmpl w:val="ABC4EF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6426BD0"/>
    <w:multiLevelType w:val="hybridMultilevel"/>
    <w:tmpl w:val="BF8E1A3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582D05D8"/>
    <w:multiLevelType w:val="hybridMultilevel"/>
    <w:tmpl w:val="2604B866"/>
    <w:lvl w:ilvl="0" w:tplc="04190001">
      <w:start w:val="1"/>
      <w:numFmt w:val="bullet"/>
      <w:lvlText w:val=""/>
      <w:lvlJc w:val="left"/>
      <w:pPr>
        <w:tabs>
          <w:tab w:val="num" w:pos="360"/>
        </w:tabs>
        <w:ind w:left="360" w:hanging="360"/>
      </w:pPr>
      <w:rPr>
        <w:rFonts w:ascii="Symbol" w:hAnsi="Symbol" w:cs="Symbol" w:hint="default"/>
      </w:rPr>
    </w:lvl>
    <w:lvl w:ilvl="1" w:tplc="C7B2A588">
      <w:start w:val="3"/>
      <w:numFmt w:val="decimal"/>
      <w:lvlText w:val="%2"/>
      <w:lvlJc w:val="left"/>
      <w:pPr>
        <w:tabs>
          <w:tab w:val="num" w:pos="1080"/>
        </w:tabs>
        <w:ind w:left="1080" w:hanging="360"/>
      </w:pPr>
      <w:rPr>
        <w:rFonts w:hint="default"/>
      </w:r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7">
    <w:nsid w:val="58603327"/>
    <w:multiLevelType w:val="hybridMultilevel"/>
    <w:tmpl w:val="56DC8A92"/>
    <w:lvl w:ilvl="0" w:tplc="7744E0DA">
      <w:start w:val="1"/>
      <w:numFmt w:val="decimal"/>
      <w:lvlText w:val="%1."/>
      <w:lvlJc w:val="left"/>
      <w:pPr>
        <w:tabs>
          <w:tab w:val="num" w:pos="3225"/>
        </w:tabs>
        <w:ind w:left="3225" w:hanging="705"/>
      </w:pPr>
      <w:rPr>
        <w:rFonts w:hint="default"/>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8">
    <w:nsid w:val="64AF5DE2"/>
    <w:multiLevelType w:val="hybridMultilevel"/>
    <w:tmpl w:val="53066FAE"/>
    <w:lvl w:ilvl="0" w:tplc="1B20EBA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71DE2F41"/>
    <w:multiLevelType w:val="hybridMultilevel"/>
    <w:tmpl w:val="32D69226"/>
    <w:lvl w:ilvl="0" w:tplc="1B20EBAE">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74ED71AB"/>
    <w:multiLevelType w:val="hybridMultilevel"/>
    <w:tmpl w:val="625E4892"/>
    <w:lvl w:ilvl="0" w:tplc="04190001">
      <w:start w:val="1"/>
      <w:numFmt w:val="bullet"/>
      <w:lvlText w:val=""/>
      <w:lvlJc w:val="left"/>
      <w:pPr>
        <w:tabs>
          <w:tab w:val="num" w:pos="360"/>
        </w:tabs>
        <w:ind w:left="3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8082A3BA">
      <w:start w:val="1"/>
      <w:numFmt w:val="decimal"/>
      <w:lvlText w:val="%3."/>
      <w:lvlJc w:val="left"/>
      <w:pPr>
        <w:tabs>
          <w:tab w:val="num" w:pos="2340"/>
        </w:tabs>
        <w:ind w:left="2340" w:hanging="360"/>
      </w:pPr>
      <w:rPr>
        <w:rFonts w:hint="default"/>
      </w:r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1">
    <w:nsid w:val="7F330C11"/>
    <w:multiLevelType w:val="hybridMultilevel"/>
    <w:tmpl w:val="9B8015CE"/>
    <w:lvl w:ilvl="0" w:tplc="EDCEA84A">
      <w:start w:val="1"/>
      <w:numFmt w:val="decimal"/>
      <w:lvlText w:val="%1."/>
      <w:lvlJc w:val="left"/>
      <w:pPr>
        <w:tabs>
          <w:tab w:val="num" w:pos="705"/>
        </w:tabs>
        <w:ind w:left="705" w:hanging="705"/>
      </w:pPr>
      <w:rPr>
        <w:rFonts w:hint="default"/>
        <w:b w:val="0"/>
      </w:rPr>
    </w:lvl>
    <w:lvl w:ilvl="1" w:tplc="04190001">
      <w:start w:val="1"/>
      <w:numFmt w:val="bullet"/>
      <w:lvlText w:val=""/>
      <w:lvlJc w:val="left"/>
      <w:pPr>
        <w:tabs>
          <w:tab w:val="num" w:pos="1440"/>
        </w:tabs>
        <w:ind w:left="1440" w:hanging="360"/>
      </w:pPr>
      <w:rPr>
        <w:rFonts w:ascii="Symbol" w:hAnsi="Symbol" w:cs="Symbol" w:hint="default"/>
      </w:rPr>
    </w:lvl>
    <w:lvl w:ilvl="2" w:tplc="FA0C5998">
      <w:start w:val="3"/>
      <w:numFmt w:val="bullet"/>
      <w:lvlText w:val="-"/>
      <w:lvlJc w:val="left"/>
      <w:pPr>
        <w:ind w:left="2340" w:hanging="360"/>
      </w:pPr>
      <w:rPr>
        <w:rFonts w:ascii="Times New Roman" w:eastAsia="Times New Roman" w:hAnsi="Times New Roman" w:hint="default"/>
        <w:b/>
        <w:bCs/>
      </w:r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21"/>
  </w:num>
  <w:num w:numId="2">
    <w:abstractNumId w:val="20"/>
  </w:num>
  <w:num w:numId="3">
    <w:abstractNumId w:val="17"/>
  </w:num>
  <w:num w:numId="4">
    <w:abstractNumId w:val="14"/>
  </w:num>
  <w:num w:numId="5">
    <w:abstractNumId w:val="9"/>
  </w:num>
  <w:num w:numId="6">
    <w:abstractNumId w:val="16"/>
  </w:num>
  <w:num w:numId="7">
    <w:abstractNumId w:val="6"/>
  </w:num>
  <w:num w:numId="8">
    <w:abstractNumId w:val="10"/>
  </w:num>
  <w:num w:numId="9">
    <w:abstractNumId w:val="12"/>
  </w:num>
  <w:num w:numId="10">
    <w:abstractNumId w:val="13"/>
  </w:num>
  <w:num w:numId="11">
    <w:abstractNumId w:val="2"/>
  </w:num>
  <w:num w:numId="12">
    <w:abstractNumId w:val="19"/>
  </w:num>
  <w:num w:numId="13">
    <w:abstractNumId w:val="4"/>
  </w:num>
  <w:num w:numId="14">
    <w:abstractNumId w:val="18"/>
  </w:num>
  <w:num w:numId="15">
    <w:abstractNumId w:val="11"/>
  </w:num>
  <w:num w:numId="16">
    <w:abstractNumId w:val="7"/>
  </w:num>
  <w:num w:numId="17">
    <w:abstractNumId w:val="15"/>
  </w:num>
  <w:num w:numId="18">
    <w:abstractNumId w:val="0"/>
  </w:num>
  <w:num w:numId="19">
    <w:abstractNumId w:val="5"/>
  </w:num>
  <w:num w:numId="20">
    <w:abstractNumId w:val="8"/>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3A6"/>
    <w:rsid w:val="00003B5D"/>
    <w:rsid w:val="00006248"/>
    <w:rsid w:val="00006502"/>
    <w:rsid w:val="0002368F"/>
    <w:rsid w:val="0003179B"/>
    <w:rsid w:val="0003657E"/>
    <w:rsid w:val="00037341"/>
    <w:rsid w:val="00045B55"/>
    <w:rsid w:val="00050B8D"/>
    <w:rsid w:val="00051ADD"/>
    <w:rsid w:val="0005284D"/>
    <w:rsid w:val="000635F5"/>
    <w:rsid w:val="00064543"/>
    <w:rsid w:val="000668F3"/>
    <w:rsid w:val="00077FD8"/>
    <w:rsid w:val="000836DC"/>
    <w:rsid w:val="000918D2"/>
    <w:rsid w:val="00093515"/>
    <w:rsid w:val="0009644E"/>
    <w:rsid w:val="00097441"/>
    <w:rsid w:val="000A6F2D"/>
    <w:rsid w:val="000A75A2"/>
    <w:rsid w:val="000C2C6C"/>
    <w:rsid w:val="000E76ED"/>
    <w:rsid w:val="000F6FA2"/>
    <w:rsid w:val="000F74AA"/>
    <w:rsid w:val="00101840"/>
    <w:rsid w:val="00101979"/>
    <w:rsid w:val="00104451"/>
    <w:rsid w:val="00105E00"/>
    <w:rsid w:val="00106294"/>
    <w:rsid w:val="001245B6"/>
    <w:rsid w:val="00133D48"/>
    <w:rsid w:val="0014211A"/>
    <w:rsid w:val="0014266D"/>
    <w:rsid w:val="00144CBC"/>
    <w:rsid w:val="0014758D"/>
    <w:rsid w:val="00157BCC"/>
    <w:rsid w:val="00177FAF"/>
    <w:rsid w:val="001877DC"/>
    <w:rsid w:val="0019001E"/>
    <w:rsid w:val="00193B27"/>
    <w:rsid w:val="001B4073"/>
    <w:rsid w:val="001B4F06"/>
    <w:rsid w:val="001B776F"/>
    <w:rsid w:val="001D0BD7"/>
    <w:rsid w:val="001D416A"/>
    <w:rsid w:val="001D659C"/>
    <w:rsid w:val="001D7707"/>
    <w:rsid w:val="001F0DA5"/>
    <w:rsid w:val="001F30E9"/>
    <w:rsid w:val="001F3EBF"/>
    <w:rsid w:val="001F4E24"/>
    <w:rsid w:val="001F5D2C"/>
    <w:rsid w:val="0020330A"/>
    <w:rsid w:val="0020716A"/>
    <w:rsid w:val="00220073"/>
    <w:rsid w:val="002326E9"/>
    <w:rsid w:val="002355C2"/>
    <w:rsid w:val="00245C3E"/>
    <w:rsid w:val="00247A73"/>
    <w:rsid w:val="00252A5E"/>
    <w:rsid w:val="002628DD"/>
    <w:rsid w:val="00267431"/>
    <w:rsid w:val="002839F8"/>
    <w:rsid w:val="00286901"/>
    <w:rsid w:val="002917F8"/>
    <w:rsid w:val="0029589D"/>
    <w:rsid w:val="002A13E2"/>
    <w:rsid w:val="002A570C"/>
    <w:rsid w:val="002B12A2"/>
    <w:rsid w:val="002B18D7"/>
    <w:rsid w:val="002B371D"/>
    <w:rsid w:val="002C0596"/>
    <w:rsid w:val="002C24BE"/>
    <w:rsid w:val="002D1776"/>
    <w:rsid w:val="002D1D5F"/>
    <w:rsid w:val="002D22EA"/>
    <w:rsid w:val="002E55EA"/>
    <w:rsid w:val="002E5968"/>
    <w:rsid w:val="002E7696"/>
    <w:rsid w:val="002F5AA2"/>
    <w:rsid w:val="002F7FB5"/>
    <w:rsid w:val="003007D9"/>
    <w:rsid w:val="00305593"/>
    <w:rsid w:val="003171C7"/>
    <w:rsid w:val="0032391E"/>
    <w:rsid w:val="003269A9"/>
    <w:rsid w:val="00330A1F"/>
    <w:rsid w:val="0034041A"/>
    <w:rsid w:val="00341F73"/>
    <w:rsid w:val="00342153"/>
    <w:rsid w:val="00342566"/>
    <w:rsid w:val="00345EE6"/>
    <w:rsid w:val="00355188"/>
    <w:rsid w:val="00355CE8"/>
    <w:rsid w:val="003703D6"/>
    <w:rsid w:val="00372C34"/>
    <w:rsid w:val="003745A1"/>
    <w:rsid w:val="0038147B"/>
    <w:rsid w:val="00391786"/>
    <w:rsid w:val="003A1B71"/>
    <w:rsid w:val="003A21A7"/>
    <w:rsid w:val="003B14F3"/>
    <w:rsid w:val="003B4967"/>
    <w:rsid w:val="003C00D7"/>
    <w:rsid w:val="003C1855"/>
    <w:rsid w:val="003D14F1"/>
    <w:rsid w:val="003D702A"/>
    <w:rsid w:val="003E45B9"/>
    <w:rsid w:val="003E500C"/>
    <w:rsid w:val="003F4103"/>
    <w:rsid w:val="003F66F4"/>
    <w:rsid w:val="00411610"/>
    <w:rsid w:val="00413E84"/>
    <w:rsid w:val="004164FA"/>
    <w:rsid w:val="0042126E"/>
    <w:rsid w:val="00422344"/>
    <w:rsid w:val="00423308"/>
    <w:rsid w:val="004306AB"/>
    <w:rsid w:val="00432F54"/>
    <w:rsid w:val="00433340"/>
    <w:rsid w:val="00446CEB"/>
    <w:rsid w:val="00447AFD"/>
    <w:rsid w:val="00452973"/>
    <w:rsid w:val="004565A7"/>
    <w:rsid w:val="00461B9B"/>
    <w:rsid w:val="00464AFE"/>
    <w:rsid w:val="00475DB5"/>
    <w:rsid w:val="00475FF5"/>
    <w:rsid w:val="00476092"/>
    <w:rsid w:val="00492D94"/>
    <w:rsid w:val="0049779E"/>
    <w:rsid w:val="004A7D15"/>
    <w:rsid w:val="004D5925"/>
    <w:rsid w:val="004D726F"/>
    <w:rsid w:val="004F103A"/>
    <w:rsid w:val="0050312A"/>
    <w:rsid w:val="00507099"/>
    <w:rsid w:val="0053341D"/>
    <w:rsid w:val="00533A48"/>
    <w:rsid w:val="005346C7"/>
    <w:rsid w:val="00541F6E"/>
    <w:rsid w:val="0055369A"/>
    <w:rsid w:val="005537F9"/>
    <w:rsid w:val="00554709"/>
    <w:rsid w:val="005618D6"/>
    <w:rsid w:val="0056542A"/>
    <w:rsid w:val="005712DF"/>
    <w:rsid w:val="005751C1"/>
    <w:rsid w:val="00580123"/>
    <w:rsid w:val="005805A4"/>
    <w:rsid w:val="0058204C"/>
    <w:rsid w:val="0058539B"/>
    <w:rsid w:val="00586894"/>
    <w:rsid w:val="0059202C"/>
    <w:rsid w:val="005A35D6"/>
    <w:rsid w:val="005A76FE"/>
    <w:rsid w:val="005A7754"/>
    <w:rsid w:val="005A78EC"/>
    <w:rsid w:val="005B3412"/>
    <w:rsid w:val="005B5DE0"/>
    <w:rsid w:val="005B5F7A"/>
    <w:rsid w:val="005C0EAD"/>
    <w:rsid w:val="005E02AA"/>
    <w:rsid w:val="005E0E4C"/>
    <w:rsid w:val="005E5AC9"/>
    <w:rsid w:val="005F07AD"/>
    <w:rsid w:val="005F22D2"/>
    <w:rsid w:val="005F68BA"/>
    <w:rsid w:val="005F6E8A"/>
    <w:rsid w:val="006016EA"/>
    <w:rsid w:val="00604F01"/>
    <w:rsid w:val="00606938"/>
    <w:rsid w:val="00607702"/>
    <w:rsid w:val="00611906"/>
    <w:rsid w:val="00613993"/>
    <w:rsid w:val="006221D3"/>
    <w:rsid w:val="00623EF7"/>
    <w:rsid w:val="00627AF9"/>
    <w:rsid w:val="00641341"/>
    <w:rsid w:val="00643B51"/>
    <w:rsid w:val="006548E2"/>
    <w:rsid w:val="00657D98"/>
    <w:rsid w:val="00662749"/>
    <w:rsid w:val="00666A93"/>
    <w:rsid w:val="006717E6"/>
    <w:rsid w:val="00671E6B"/>
    <w:rsid w:val="00681A74"/>
    <w:rsid w:val="00682161"/>
    <w:rsid w:val="0068361A"/>
    <w:rsid w:val="00691EB6"/>
    <w:rsid w:val="00693973"/>
    <w:rsid w:val="00694EAD"/>
    <w:rsid w:val="006A15D9"/>
    <w:rsid w:val="006A2C1B"/>
    <w:rsid w:val="006A38E8"/>
    <w:rsid w:val="006A531D"/>
    <w:rsid w:val="006B2972"/>
    <w:rsid w:val="006B6E9D"/>
    <w:rsid w:val="006C1A64"/>
    <w:rsid w:val="006C4E1A"/>
    <w:rsid w:val="006C5580"/>
    <w:rsid w:val="006C7660"/>
    <w:rsid w:val="006D03F1"/>
    <w:rsid w:val="006D40B9"/>
    <w:rsid w:val="006E6879"/>
    <w:rsid w:val="006F0028"/>
    <w:rsid w:val="00701FB7"/>
    <w:rsid w:val="00707570"/>
    <w:rsid w:val="007100BB"/>
    <w:rsid w:val="0072701D"/>
    <w:rsid w:val="00745775"/>
    <w:rsid w:val="007617A1"/>
    <w:rsid w:val="007827D8"/>
    <w:rsid w:val="00783808"/>
    <w:rsid w:val="00787931"/>
    <w:rsid w:val="00790ED0"/>
    <w:rsid w:val="007A16B3"/>
    <w:rsid w:val="007B19A1"/>
    <w:rsid w:val="007B19A9"/>
    <w:rsid w:val="007B2063"/>
    <w:rsid w:val="007B66F7"/>
    <w:rsid w:val="007B7EC8"/>
    <w:rsid w:val="007C0845"/>
    <w:rsid w:val="007C1C01"/>
    <w:rsid w:val="007C34DF"/>
    <w:rsid w:val="007C3692"/>
    <w:rsid w:val="007C50ED"/>
    <w:rsid w:val="007C659A"/>
    <w:rsid w:val="007D37DF"/>
    <w:rsid w:val="007D7435"/>
    <w:rsid w:val="007E539F"/>
    <w:rsid w:val="007F0AE0"/>
    <w:rsid w:val="007F0AED"/>
    <w:rsid w:val="007F1C6F"/>
    <w:rsid w:val="007F32E4"/>
    <w:rsid w:val="007F52CF"/>
    <w:rsid w:val="007F770C"/>
    <w:rsid w:val="008078CA"/>
    <w:rsid w:val="008103F9"/>
    <w:rsid w:val="00822117"/>
    <w:rsid w:val="008234B1"/>
    <w:rsid w:val="00830976"/>
    <w:rsid w:val="00834097"/>
    <w:rsid w:val="00836DE1"/>
    <w:rsid w:val="00845566"/>
    <w:rsid w:val="0084572E"/>
    <w:rsid w:val="00850B6B"/>
    <w:rsid w:val="0086214A"/>
    <w:rsid w:val="00866DFB"/>
    <w:rsid w:val="008708AA"/>
    <w:rsid w:val="00877534"/>
    <w:rsid w:val="008835C6"/>
    <w:rsid w:val="00885966"/>
    <w:rsid w:val="00895A02"/>
    <w:rsid w:val="008A1461"/>
    <w:rsid w:val="008A1920"/>
    <w:rsid w:val="008A27F3"/>
    <w:rsid w:val="008A42E7"/>
    <w:rsid w:val="008A5C30"/>
    <w:rsid w:val="008B2BF3"/>
    <w:rsid w:val="008B2DB1"/>
    <w:rsid w:val="008B4903"/>
    <w:rsid w:val="008B693E"/>
    <w:rsid w:val="008C3AC7"/>
    <w:rsid w:val="008D2CDF"/>
    <w:rsid w:val="008F5C8F"/>
    <w:rsid w:val="009014DF"/>
    <w:rsid w:val="009050F4"/>
    <w:rsid w:val="009061FD"/>
    <w:rsid w:val="0091501A"/>
    <w:rsid w:val="00917AEF"/>
    <w:rsid w:val="009200D6"/>
    <w:rsid w:val="009219EC"/>
    <w:rsid w:val="009323C6"/>
    <w:rsid w:val="00940641"/>
    <w:rsid w:val="00941937"/>
    <w:rsid w:val="009504E5"/>
    <w:rsid w:val="00952F88"/>
    <w:rsid w:val="00963C38"/>
    <w:rsid w:val="009668BB"/>
    <w:rsid w:val="00966F2D"/>
    <w:rsid w:val="0097034C"/>
    <w:rsid w:val="0097360B"/>
    <w:rsid w:val="0097619B"/>
    <w:rsid w:val="00977DE2"/>
    <w:rsid w:val="0098007D"/>
    <w:rsid w:val="00984E35"/>
    <w:rsid w:val="0098737C"/>
    <w:rsid w:val="00987CFF"/>
    <w:rsid w:val="009A593B"/>
    <w:rsid w:val="009A6A2F"/>
    <w:rsid w:val="009A6CB4"/>
    <w:rsid w:val="009B1462"/>
    <w:rsid w:val="009B1D9B"/>
    <w:rsid w:val="009C23FC"/>
    <w:rsid w:val="009C65A7"/>
    <w:rsid w:val="009C75F3"/>
    <w:rsid w:val="009C7708"/>
    <w:rsid w:val="009D33A6"/>
    <w:rsid w:val="009E0898"/>
    <w:rsid w:val="009E4A75"/>
    <w:rsid w:val="009F14B5"/>
    <w:rsid w:val="009F1BED"/>
    <w:rsid w:val="009F23E4"/>
    <w:rsid w:val="00A1117F"/>
    <w:rsid w:val="00A119D9"/>
    <w:rsid w:val="00A332CF"/>
    <w:rsid w:val="00A40389"/>
    <w:rsid w:val="00A4158E"/>
    <w:rsid w:val="00A42FB5"/>
    <w:rsid w:val="00A45AE9"/>
    <w:rsid w:val="00A52EB7"/>
    <w:rsid w:val="00A6050D"/>
    <w:rsid w:val="00A60B09"/>
    <w:rsid w:val="00A6127D"/>
    <w:rsid w:val="00A66B2D"/>
    <w:rsid w:val="00A72F3E"/>
    <w:rsid w:val="00A82736"/>
    <w:rsid w:val="00A8468D"/>
    <w:rsid w:val="00A90058"/>
    <w:rsid w:val="00A914C7"/>
    <w:rsid w:val="00A96639"/>
    <w:rsid w:val="00AA36D3"/>
    <w:rsid w:val="00AA3D30"/>
    <w:rsid w:val="00AA3F5E"/>
    <w:rsid w:val="00AA6E84"/>
    <w:rsid w:val="00AB1E7F"/>
    <w:rsid w:val="00AB36D9"/>
    <w:rsid w:val="00AD5F14"/>
    <w:rsid w:val="00AE73CB"/>
    <w:rsid w:val="00AF096B"/>
    <w:rsid w:val="00AF0BFF"/>
    <w:rsid w:val="00AF5F65"/>
    <w:rsid w:val="00B00F2B"/>
    <w:rsid w:val="00B0105A"/>
    <w:rsid w:val="00B13659"/>
    <w:rsid w:val="00B2163F"/>
    <w:rsid w:val="00B322C0"/>
    <w:rsid w:val="00B33CA8"/>
    <w:rsid w:val="00B42596"/>
    <w:rsid w:val="00B43EBA"/>
    <w:rsid w:val="00B53C48"/>
    <w:rsid w:val="00B53F23"/>
    <w:rsid w:val="00B61F22"/>
    <w:rsid w:val="00B67382"/>
    <w:rsid w:val="00B73427"/>
    <w:rsid w:val="00B77C95"/>
    <w:rsid w:val="00B85D58"/>
    <w:rsid w:val="00B97872"/>
    <w:rsid w:val="00BA2C09"/>
    <w:rsid w:val="00BA3662"/>
    <w:rsid w:val="00BB76DF"/>
    <w:rsid w:val="00BC7276"/>
    <w:rsid w:val="00BD47B8"/>
    <w:rsid w:val="00BD5F90"/>
    <w:rsid w:val="00BE1CE8"/>
    <w:rsid w:val="00BF0A0E"/>
    <w:rsid w:val="00BF3F7A"/>
    <w:rsid w:val="00C02625"/>
    <w:rsid w:val="00C07EED"/>
    <w:rsid w:val="00C121BA"/>
    <w:rsid w:val="00C17D5D"/>
    <w:rsid w:val="00C22F0A"/>
    <w:rsid w:val="00C440F0"/>
    <w:rsid w:val="00C567F4"/>
    <w:rsid w:val="00C63DEB"/>
    <w:rsid w:val="00C722B9"/>
    <w:rsid w:val="00C77AD7"/>
    <w:rsid w:val="00C863EA"/>
    <w:rsid w:val="00C86A70"/>
    <w:rsid w:val="00C92FD3"/>
    <w:rsid w:val="00C96967"/>
    <w:rsid w:val="00CA49FE"/>
    <w:rsid w:val="00CA7C26"/>
    <w:rsid w:val="00CB28AD"/>
    <w:rsid w:val="00CB4CF9"/>
    <w:rsid w:val="00CB6D88"/>
    <w:rsid w:val="00CD0E8C"/>
    <w:rsid w:val="00CD14E3"/>
    <w:rsid w:val="00CD6F1B"/>
    <w:rsid w:val="00CE04F5"/>
    <w:rsid w:val="00CE4668"/>
    <w:rsid w:val="00CF224C"/>
    <w:rsid w:val="00CF31A8"/>
    <w:rsid w:val="00D06CDC"/>
    <w:rsid w:val="00D07819"/>
    <w:rsid w:val="00D128EE"/>
    <w:rsid w:val="00D2261E"/>
    <w:rsid w:val="00D357A7"/>
    <w:rsid w:val="00D358D7"/>
    <w:rsid w:val="00D36DD5"/>
    <w:rsid w:val="00D374BB"/>
    <w:rsid w:val="00D51E59"/>
    <w:rsid w:val="00D545F4"/>
    <w:rsid w:val="00D55FA4"/>
    <w:rsid w:val="00D56660"/>
    <w:rsid w:val="00D65A68"/>
    <w:rsid w:val="00D70087"/>
    <w:rsid w:val="00D7628C"/>
    <w:rsid w:val="00D77320"/>
    <w:rsid w:val="00D8399D"/>
    <w:rsid w:val="00D86AF8"/>
    <w:rsid w:val="00D93AD3"/>
    <w:rsid w:val="00DA43B0"/>
    <w:rsid w:val="00DB07BD"/>
    <w:rsid w:val="00DB31B3"/>
    <w:rsid w:val="00DB345D"/>
    <w:rsid w:val="00DB4635"/>
    <w:rsid w:val="00DB5279"/>
    <w:rsid w:val="00DC41D2"/>
    <w:rsid w:val="00DC6A14"/>
    <w:rsid w:val="00DD0AD2"/>
    <w:rsid w:val="00DE08C3"/>
    <w:rsid w:val="00DE6253"/>
    <w:rsid w:val="00DF4A71"/>
    <w:rsid w:val="00DF54FF"/>
    <w:rsid w:val="00E030F4"/>
    <w:rsid w:val="00E061D2"/>
    <w:rsid w:val="00E1195D"/>
    <w:rsid w:val="00E35193"/>
    <w:rsid w:val="00E4033D"/>
    <w:rsid w:val="00E4411A"/>
    <w:rsid w:val="00E4649F"/>
    <w:rsid w:val="00E53193"/>
    <w:rsid w:val="00E57FEC"/>
    <w:rsid w:val="00E65CFD"/>
    <w:rsid w:val="00E65DBB"/>
    <w:rsid w:val="00E66FE9"/>
    <w:rsid w:val="00E710F7"/>
    <w:rsid w:val="00E85C2B"/>
    <w:rsid w:val="00E8739B"/>
    <w:rsid w:val="00E9122C"/>
    <w:rsid w:val="00E9610F"/>
    <w:rsid w:val="00E97AFC"/>
    <w:rsid w:val="00EA26D1"/>
    <w:rsid w:val="00EA2B0C"/>
    <w:rsid w:val="00EB3AAB"/>
    <w:rsid w:val="00ED3274"/>
    <w:rsid w:val="00ED3DF7"/>
    <w:rsid w:val="00EE24E8"/>
    <w:rsid w:val="00F031E4"/>
    <w:rsid w:val="00F0409C"/>
    <w:rsid w:val="00F14664"/>
    <w:rsid w:val="00F20ABF"/>
    <w:rsid w:val="00F311B3"/>
    <w:rsid w:val="00F31813"/>
    <w:rsid w:val="00F41BD0"/>
    <w:rsid w:val="00F5134B"/>
    <w:rsid w:val="00F52411"/>
    <w:rsid w:val="00F67217"/>
    <w:rsid w:val="00F70A1B"/>
    <w:rsid w:val="00F70E36"/>
    <w:rsid w:val="00F71367"/>
    <w:rsid w:val="00F73FE6"/>
    <w:rsid w:val="00F76864"/>
    <w:rsid w:val="00F87CF5"/>
    <w:rsid w:val="00F922BD"/>
    <w:rsid w:val="00F93892"/>
    <w:rsid w:val="00F94644"/>
    <w:rsid w:val="00F96D72"/>
    <w:rsid w:val="00FA5315"/>
    <w:rsid w:val="00FA5E30"/>
    <w:rsid w:val="00FA767F"/>
    <w:rsid w:val="00FA782B"/>
    <w:rsid w:val="00FB42EC"/>
    <w:rsid w:val="00FC2343"/>
    <w:rsid w:val="00FC6998"/>
    <w:rsid w:val="00FC6A93"/>
    <w:rsid w:val="00FD0BB5"/>
    <w:rsid w:val="00FD656A"/>
    <w:rsid w:val="00FD6CD5"/>
    <w:rsid w:val="00FF6D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A7"/>
    <w:pPr>
      <w:spacing w:after="200" w:line="276" w:lineRule="auto"/>
    </w:pPr>
    <w:rPr>
      <w:rFonts w:ascii="Times New Roman" w:hAnsi="Times New Roman"/>
      <w:sz w:val="28"/>
      <w:szCs w:val="28"/>
      <w:lang w:val="ru-RU"/>
    </w:rPr>
  </w:style>
  <w:style w:type="paragraph" w:styleId="1">
    <w:name w:val="heading 1"/>
    <w:basedOn w:val="a"/>
    <w:next w:val="a"/>
    <w:link w:val="10"/>
    <w:uiPriority w:val="99"/>
    <w:qFormat/>
    <w:rsid w:val="005618D6"/>
    <w:pPr>
      <w:keepNext/>
      <w:keepLines/>
      <w:spacing w:before="480" w:after="0"/>
      <w:outlineLvl w:val="0"/>
    </w:pPr>
    <w:rPr>
      <w:rFonts w:ascii="Cambria" w:eastAsia="Times New Roman" w:hAnsi="Cambria" w:cs="Cambria"/>
      <w:b/>
      <w:bCs/>
      <w:color w:val="365F91"/>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18D6"/>
    <w:rPr>
      <w:rFonts w:ascii="Cambria" w:hAnsi="Cambria" w:cs="Cambria"/>
      <w:b/>
      <w:bCs/>
      <w:color w:val="365F91"/>
      <w:sz w:val="28"/>
      <w:szCs w:val="28"/>
    </w:rPr>
  </w:style>
  <w:style w:type="paragraph" w:styleId="a3">
    <w:name w:val="header"/>
    <w:basedOn w:val="a"/>
    <w:link w:val="a4"/>
    <w:uiPriority w:val="99"/>
    <w:rsid w:val="007827D8"/>
    <w:pPr>
      <w:tabs>
        <w:tab w:val="center" w:pos="4677"/>
        <w:tab w:val="right" w:pos="9355"/>
      </w:tabs>
      <w:spacing w:after="0" w:line="240" w:lineRule="auto"/>
    </w:pPr>
    <w:rPr>
      <w:lang w:val="en-US" w:eastAsia="ru-RU"/>
    </w:rPr>
  </w:style>
  <w:style w:type="character" w:customStyle="1" w:styleId="a4">
    <w:name w:val="Верхний колонтитул Знак"/>
    <w:basedOn w:val="a0"/>
    <w:link w:val="a3"/>
    <w:uiPriority w:val="99"/>
    <w:locked/>
    <w:rsid w:val="007827D8"/>
    <w:rPr>
      <w:rFonts w:ascii="Times New Roman" w:hAnsi="Times New Roman" w:cs="Times New Roman"/>
      <w:sz w:val="28"/>
      <w:szCs w:val="28"/>
    </w:rPr>
  </w:style>
  <w:style w:type="paragraph" w:styleId="a5">
    <w:name w:val="footer"/>
    <w:basedOn w:val="a"/>
    <w:link w:val="a6"/>
    <w:uiPriority w:val="99"/>
    <w:rsid w:val="007827D8"/>
    <w:pPr>
      <w:tabs>
        <w:tab w:val="center" w:pos="4677"/>
        <w:tab w:val="right" w:pos="9355"/>
      </w:tabs>
      <w:spacing w:after="0" w:line="240" w:lineRule="auto"/>
    </w:pPr>
    <w:rPr>
      <w:lang w:val="en-US" w:eastAsia="ru-RU"/>
    </w:rPr>
  </w:style>
  <w:style w:type="character" w:customStyle="1" w:styleId="a6">
    <w:name w:val="Нижний колонтитул Знак"/>
    <w:basedOn w:val="a0"/>
    <w:link w:val="a5"/>
    <w:uiPriority w:val="99"/>
    <w:locked/>
    <w:rsid w:val="007827D8"/>
    <w:rPr>
      <w:rFonts w:ascii="Times New Roman" w:hAnsi="Times New Roman" w:cs="Times New Roman"/>
      <w:sz w:val="28"/>
      <w:szCs w:val="28"/>
    </w:rPr>
  </w:style>
  <w:style w:type="paragraph" w:styleId="a7">
    <w:name w:val="Balloon Text"/>
    <w:basedOn w:val="a"/>
    <w:link w:val="a8"/>
    <w:uiPriority w:val="99"/>
    <w:semiHidden/>
    <w:rsid w:val="007827D8"/>
    <w:pPr>
      <w:spacing w:after="0" w:line="240" w:lineRule="auto"/>
    </w:pPr>
    <w:rPr>
      <w:rFonts w:ascii="Tahoma" w:hAnsi="Tahoma" w:cs="Tahoma"/>
      <w:sz w:val="16"/>
      <w:szCs w:val="16"/>
      <w:lang w:val="en-US" w:eastAsia="ru-RU"/>
    </w:rPr>
  </w:style>
  <w:style w:type="character" w:customStyle="1" w:styleId="a8">
    <w:name w:val="Текст выноски Знак"/>
    <w:basedOn w:val="a0"/>
    <w:link w:val="a7"/>
    <w:uiPriority w:val="99"/>
    <w:semiHidden/>
    <w:locked/>
    <w:rsid w:val="007827D8"/>
    <w:rPr>
      <w:rFonts w:ascii="Tahoma" w:hAnsi="Tahoma" w:cs="Tahoma"/>
      <w:sz w:val="16"/>
      <w:szCs w:val="16"/>
    </w:rPr>
  </w:style>
  <w:style w:type="paragraph" w:styleId="a9">
    <w:name w:val="No Spacing"/>
    <w:link w:val="aa"/>
    <w:uiPriority w:val="99"/>
    <w:qFormat/>
    <w:rsid w:val="00E53193"/>
    <w:rPr>
      <w:rFonts w:eastAsia="Times New Roman" w:cs="Calibri"/>
      <w:sz w:val="20"/>
      <w:szCs w:val="20"/>
      <w:lang w:val="uk-UA" w:eastAsia="uk-UA"/>
    </w:rPr>
  </w:style>
  <w:style w:type="character" w:customStyle="1" w:styleId="aa">
    <w:name w:val="Без интервала Знак"/>
    <w:link w:val="a9"/>
    <w:uiPriority w:val="99"/>
    <w:locked/>
    <w:rsid w:val="00E53193"/>
    <w:rPr>
      <w:rFonts w:eastAsia="Times New Roman"/>
      <w:lang w:val="uk-UA" w:eastAsia="uk-UA"/>
    </w:rPr>
  </w:style>
  <w:style w:type="paragraph" w:styleId="ab">
    <w:name w:val="List Paragraph"/>
    <w:basedOn w:val="a"/>
    <w:uiPriority w:val="34"/>
    <w:qFormat/>
    <w:rsid w:val="002C24BE"/>
    <w:pPr>
      <w:ind w:left="720"/>
    </w:pPr>
  </w:style>
  <w:style w:type="table" w:styleId="ac">
    <w:name w:val="Table Grid"/>
    <w:basedOn w:val="a1"/>
    <w:uiPriority w:val="99"/>
    <w:rsid w:val="00B978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99"/>
    <w:rsid w:val="00586894"/>
    <w:rPr>
      <w:rFonts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uiPriority w:val="99"/>
    <w:rsid w:val="00252A5E"/>
    <w:rPr>
      <w:rFonts w:cs="Calibri"/>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11">
    <w:name w:val="Средняя заливка 1 - Акцент 11"/>
    <w:basedOn w:val="a1"/>
    <w:uiPriority w:val="99"/>
    <w:rsid w:val="00252A5E"/>
    <w:rPr>
      <w:rFonts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редняя заливка 11"/>
    <w:basedOn w:val="a1"/>
    <w:uiPriority w:val="99"/>
    <w:rsid w:val="00252A5E"/>
    <w:rPr>
      <w:rFonts w:cs="Calibri"/>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ий список 1 - Акцент 11"/>
    <w:basedOn w:val="a1"/>
    <w:uiPriority w:val="99"/>
    <w:rsid w:val="00252A5E"/>
    <w:rPr>
      <w:rFonts w:cs="Calibri"/>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
    <w:name w:val="Средняя заливка 2 - Акцент 11"/>
    <w:basedOn w:val="a1"/>
    <w:uiPriority w:val="99"/>
    <w:rsid w:val="00252A5E"/>
    <w:rPr>
      <w:rFonts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1"/>
    <w:uiPriority w:val="99"/>
    <w:rsid w:val="00252A5E"/>
    <w:rPr>
      <w:rFonts w:ascii="Cambria" w:eastAsia="Times New Roman"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1"/>
    <w:uiPriority w:val="99"/>
    <w:rsid w:val="00252A5E"/>
    <w:rPr>
      <w:rFonts w:ascii="Cambria" w:eastAsia="Times New Roman" w:hAnsi="Cambria" w:cs="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20">
    <w:name w:val="Medium Grid 2 Accent 2"/>
    <w:basedOn w:val="a1"/>
    <w:uiPriority w:val="99"/>
    <w:rsid w:val="000A75A2"/>
    <w:rPr>
      <w:rFonts w:ascii="Cambria" w:eastAsia="Times New Roman" w:hAnsi="Cambria" w:cs="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ad">
    <w:name w:val="Знак"/>
    <w:basedOn w:val="a"/>
    <w:uiPriority w:val="99"/>
    <w:rsid w:val="00CB6D88"/>
    <w:pPr>
      <w:spacing w:after="0" w:line="240" w:lineRule="auto"/>
    </w:pPr>
    <w:rPr>
      <w:rFonts w:ascii="Verdana" w:eastAsia="Times New Roman" w:hAnsi="Verdana" w:cs="Verdana"/>
      <w:sz w:val="20"/>
      <w:szCs w:val="20"/>
      <w:lang w:val="en-US"/>
    </w:rPr>
  </w:style>
  <w:style w:type="paragraph" w:styleId="ae">
    <w:name w:val="Body Text"/>
    <w:aliases w:val="Текст1"/>
    <w:basedOn w:val="a"/>
    <w:link w:val="af"/>
    <w:uiPriority w:val="99"/>
    <w:rsid w:val="009200D6"/>
    <w:pPr>
      <w:spacing w:after="0" w:line="240" w:lineRule="auto"/>
      <w:jc w:val="both"/>
    </w:pPr>
    <w:rPr>
      <w:rFonts w:eastAsia="Times New Roman"/>
      <w:b/>
      <w:bCs/>
      <w:i/>
      <w:iCs/>
      <w:sz w:val="24"/>
      <w:szCs w:val="24"/>
      <w:lang w:val="uk-UA" w:eastAsia="ru-RU"/>
    </w:rPr>
  </w:style>
  <w:style w:type="character" w:customStyle="1" w:styleId="af">
    <w:name w:val="Основной текст Знак"/>
    <w:aliases w:val="Текст1 Знак"/>
    <w:basedOn w:val="a0"/>
    <w:link w:val="ae"/>
    <w:uiPriority w:val="99"/>
    <w:locked/>
    <w:rsid w:val="009200D6"/>
    <w:rPr>
      <w:rFonts w:ascii="Times New Roman" w:hAnsi="Times New Roman" w:cs="Times New Roman"/>
      <w:b/>
      <w:bCs/>
      <w:i/>
      <w:iCs/>
      <w:sz w:val="24"/>
      <w:szCs w:val="24"/>
      <w:lang w:val="uk-UA" w:eastAsia="ru-RU"/>
    </w:rPr>
  </w:style>
  <w:style w:type="paragraph" w:customStyle="1" w:styleId="BodyText21">
    <w:name w:val="Body Text 21"/>
    <w:basedOn w:val="a"/>
    <w:uiPriority w:val="99"/>
    <w:rsid w:val="009200D6"/>
    <w:pPr>
      <w:spacing w:before="120" w:after="0" w:line="240" w:lineRule="auto"/>
      <w:ind w:firstLine="709"/>
      <w:jc w:val="both"/>
    </w:pPr>
    <w:rPr>
      <w:rFonts w:eastAsia="Times New Roman"/>
      <w:lang w:val="uk-UA" w:eastAsia="ru-RU"/>
    </w:rPr>
  </w:style>
  <w:style w:type="character" w:styleId="af0">
    <w:name w:val="Hyperlink"/>
    <w:basedOn w:val="a0"/>
    <w:uiPriority w:val="99"/>
    <w:rsid w:val="00A8468D"/>
    <w:rPr>
      <w:color w:val="0000FF"/>
      <w:u w:val="single"/>
    </w:rPr>
  </w:style>
  <w:style w:type="paragraph" w:styleId="af1">
    <w:name w:val="annotation text"/>
    <w:basedOn w:val="a"/>
    <w:link w:val="af2"/>
    <w:rsid w:val="00286901"/>
    <w:pPr>
      <w:spacing w:after="0" w:line="240" w:lineRule="auto"/>
    </w:pPr>
    <w:rPr>
      <w:rFonts w:ascii="Arial" w:eastAsia="Times New Roman" w:hAnsi="Arial"/>
      <w:sz w:val="20"/>
      <w:szCs w:val="20"/>
      <w:lang w:val="en-US"/>
    </w:rPr>
  </w:style>
  <w:style w:type="character" w:customStyle="1" w:styleId="af2">
    <w:name w:val="Текст примечания Знак"/>
    <w:basedOn w:val="a0"/>
    <w:link w:val="af1"/>
    <w:rsid w:val="00286901"/>
    <w:rPr>
      <w:rFonts w:ascii="Arial" w:eastAsia="Times New Roman" w:hAnsi="Arial"/>
      <w:sz w:val="20"/>
      <w:szCs w:val="20"/>
    </w:rPr>
  </w:style>
  <w:style w:type="character" w:customStyle="1" w:styleId="apple-converted-space">
    <w:name w:val="apple-converted-space"/>
    <w:rsid w:val="005A7754"/>
  </w:style>
  <w:style w:type="character" w:styleId="af3">
    <w:name w:val="Emphasis"/>
    <w:uiPriority w:val="20"/>
    <w:qFormat/>
    <w:locked/>
    <w:rsid w:val="005A7754"/>
    <w:rPr>
      <w:i/>
      <w:iCs/>
    </w:rPr>
  </w:style>
</w:styles>
</file>

<file path=word/webSettings.xml><?xml version="1.0" encoding="utf-8"?>
<w:webSettings xmlns:r="http://schemas.openxmlformats.org/officeDocument/2006/relationships" xmlns:w="http://schemas.openxmlformats.org/wordprocessingml/2006/main">
  <w:divs>
    <w:div w:id="10072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20\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20\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10"/>
  <c:chart>
    <c:view3D>
      <c:rotX val="30"/>
      <c:perspective val="30"/>
    </c:view3D>
    <c:plotArea>
      <c:layout>
        <c:manualLayout>
          <c:layoutTarget val="inner"/>
          <c:xMode val="edge"/>
          <c:yMode val="edge"/>
          <c:x val="0"/>
          <c:y val="4.569055036344756E-2"/>
          <c:w val="0.74172583463922692"/>
          <c:h val="0.95430944549652863"/>
        </c:manualLayout>
      </c:layout>
      <c:pie3DChart>
        <c:varyColors val="1"/>
        <c:ser>
          <c:idx val="0"/>
          <c:order val="0"/>
          <c:explosion val="7"/>
          <c:dLbls>
            <c:dLbl>
              <c:idx val="0"/>
              <c:layout>
                <c:manualLayout>
                  <c:x val="1.470588235294118E-2"/>
                  <c:y val="-4.1536863966770497E-2"/>
                </c:manualLayout>
              </c:layout>
              <c:dLblPos val="outEnd"/>
              <c:showVal val="1"/>
            </c:dLbl>
            <c:dLbl>
              <c:idx val="1"/>
              <c:layout>
                <c:manualLayout>
                  <c:x val="2.4509803921568692E-3"/>
                  <c:y val="-4.9844236760124623E-2"/>
                </c:manualLayout>
              </c:layout>
              <c:dLblPos val="outEnd"/>
              <c:showVal val="1"/>
            </c:dLbl>
            <c:dLbl>
              <c:idx val="2"/>
              <c:layout>
                <c:manualLayout>
                  <c:x val="4.1666666666666692E-2"/>
                  <c:y val="0"/>
                </c:manualLayout>
              </c:layout>
              <c:dLblPos val="outEnd"/>
              <c:showVal val="1"/>
            </c:dLbl>
            <c:dLbl>
              <c:idx val="3"/>
              <c:layout>
                <c:manualLayout>
                  <c:x val="-3.4313725490196081E-2"/>
                  <c:y val="0"/>
                </c:manualLayout>
              </c:layout>
              <c:dLblPos val="outEnd"/>
              <c:showVal val="1"/>
            </c:dLbl>
            <c:dLbl>
              <c:idx val="4"/>
              <c:layout>
                <c:manualLayout>
                  <c:x val="2.4509803921568692E-3"/>
                  <c:y val="-6.6458982346832923E-2"/>
                </c:manualLayout>
              </c:layout>
              <c:dLblPos val="outEnd"/>
              <c:showVal val="1"/>
            </c:dLbl>
            <c:dLbl>
              <c:idx val="5"/>
              <c:layout>
                <c:manualLayout>
                  <c:x val="-4.1666666666666692E-2"/>
                  <c:y val="-4.5690550363447546E-2"/>
                </c:manualLayout>
              </c:layout>
              <c:dLblPos val="outEnd"/>
              <c:showVal val="1"/>
            </c:dLbl>
            <c:dLbl>
              <c:idx val="6"/>
              <c:layout>
                <c:manualLayout>
                  <c:x val="-1.470588235294118E-2"/>
                  <c:y val="-3.3229491173416399E-2"/>
                </c:manualLayout>
              </c:layout>
              <c:dLblPos val="outEnd"/>
              <c:showVal val="1"/>
            </c:dLbl>
            <c:dLbl>
              <c:idx val="7"/>
              <c:layout>
                <c:manualLayout>
                  <c:x val="0"/>
                  <c:y val="-3.7383177570093948E-2"/>
                </c:manualLayout>
              </c:layout>
              <c:dLblPos val="outEnd"/>
              <c:showVal val="1"/>
            </c:dLbl>
            <c:dLbl>
              <c:idx val="8"/>
              <c:layout>
                <c:manualLayout>
                  <c:x val="1.9607843137254902E-2"/>
                  <c:y val="-1.6614745586708241E-2"/>
                </c:manualLayout>
              </c:layout>
              <c:dLblPos val="outEnd"/>
              <c:showVal val="1"/>
            </c:dLbl>
            <c:txPr>
              <a:bodyPr/>
              <a:lstStyle/>
              <a:p>
                <a:pPr>
                  <a:defRPr lang="ru-RU">
                    <a:latin typeface="Times New Roman" pitchFamily="18" charset="0"/>
                    <a:cs typeface="Times New Roman" pitchFamily="18" charset="0"/>
                  </a:defRPr>
                </a:pPr>
                <a:endParaRPr lang="uk-UA"/>
              </a:p>
            </c:txPr>
            <c:dLblPos val="outEnd"/>
            <c:showVal val="1"/>
            <c:showLeaderLines val="1"/>
          </c:dLbls>
          <c:cat>
            <c:strRef>
              <c:f>Лист1!$A$1:$A$6</c:f>
              <c:strCache>
                <c:ptCount val="6"/>
                <c:pt idx="0">
                  <c:v>Велика Британія</c:v>
                </c:pt>
                <c:pt idx="1">
                  <c:v>Італія</c:v>
                </c:pt>
                <c:pt idx="2">
                  <c:v>Нідерланди</c:v>
                </c:pt>
                <c:pt idx="3">
                  <c:v>Німеччина</c:v>
                </c:pt>
                <c:pt idx="4">
                  <c:v>Кіпр</c:v>
                </c:pt>
                <c:pt idx="5">
                  <c:v>Російська Федерація</c:v>
                </c:pt>
              </c:strCache>
            </c:strRef>
          </c:cat>
          <c:val>
            <c:numRef>
              <c:f>Лист1!$B$1:$B$6</c:f>
              <c:numCache>
                <c:formatCode>General</c:formatCode>
                <c:ptCount val="6"/>
                <c:pt idx="0">
                  <c:v>51.9</c:v>
                </c:pt>
                <c:pt idx="1">
                  <c:v>29.6</c:v>
                </c:pt>
                <c:pt idx="2">
                  <c:v>30.3</c:v>
                </c:pt>
                <c:pt idx="3">
                  <c:v>61.8</c:v>
                </c:pt>
                <c:pt idx="4">
                  <c:v>30.5</c:v>
                </c:pt>
                <c:pt idx="5">
                  <c:v>17.399999999999999</c:v>
                </c:pt>
              </c:numCache>
            </c:numRef>
          </c:val>
        </c:ser>
        <c:dLbls>
          <c:showVal val="1"/>
        </c:dLbls>
      </c:pie3DChart>
    </c:plotArea>
    <c:legend>
      <c:legendPos val="r"/>
      <c:layout>
        <c:manualLayout>
          <c:xMode val="edge"/>
          <c:yMode val="edge"/>
          <c:x val="0.77006124234470874"/>
          <c:y val="6.6466831832937667E-2"/>
          <c:w val="0.21523267924842729"/>
          <c:h val="0.8250792144957837"/>
        </c:manualLayout>
      </c:layout>
      <c:txPr>
        <a:bodyPr/>
        <a:lstStyle/>
        <a:p>
          <a:pPr>
            <a:defRPr lang="ru-RU">
              <a:latin typeface="Times New Roman" pitchFamily="18" charset="0"/>
              <a:cs typeface="Times New Roman" pitchFamily="18" charset="0"/>
            </a:defRPr>
          </a:pPr>
          <a:endParaRPr lang="uk-UA"/>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10"/>
  <c:chart>
    <c:view3D>
      <c:rotX val="30"/>
      <c:perspective val="30"/>
    </c:view3D>
    <c:plotArea>
      <c:layout>
        <c:manualLayout>
          <c:layoutTarget val="inner"/>
          <c:xMode val="edge"/>
          <c:yMode val="edge"/>
          <c:x val="4.373091495858805E-4"/>
          <c:y val="0.13187513774518642"/>
          <c:w val="0.61415157093575479"/>
          <c:h val="0.82060267275750864"/>
        </c:manualLayout>
      </c:layout>
      <c:pie3DChart>
        <c:varyColors val="1"/>
        <c:ser>
          <c:idx val="0"/>
          <c:order val="0"/>
          <c:explosion val="7"/>
          <c:dLbls>
            <c:dLbl>
              <c:idx val="0"/>
              <c:layout>
                <c:manualLayout>
                  <c:x val="1.4705882352941176E-2"/>
                  <c:y val="-4.1536863966770497E-2"/>
                </c:manualLayout>
              </c:layout>
              <c:dLblPos val="outEnd"/>
              <c:showVal val="1"/>
            </c:dLbl>
            <c:dLbl>
              <c:idx val="1"/>
              <c:layout>
                <c:manualLayout>
                  <c:x val="0"/>
                  <c:y val="4.6581446645852446E-2"/>
                </c:manualLayout>
              </c:layout>
              <c:dLblPos val="outEnd"/>
              <c:showVal val="1"/>
            </c:dLbl>
            <c:dLbl>
              <c:idx val="2"/>
              <c:layout>
                <c:manualLayout>
                  <c:x val="-6.6501879984488019E-2"/>
                  <c:y val="-2.3958574945573664E-2"/>
                </c:manualLayout>
              </c:layout>
              <c:dLblPos val="outEnd"/>
              <c:showVal val="1"/>
            </c:dLbl>
            <c:dLbl>
              <c:idx val="3"/>
              <c:layout>
                <c:manualLayout>
                  <c:x val="1.2970168612191961E-2"/>
                  <c:y val="-0.14514150847423141"/>
                </c:manualLayout>
              </c:layout>
              <c:dLblPos val="outEnd"/>
              <c:showVal val="1"/>
            </c:dLbl>
            <c:dLbl>
              <c:idx val="4"/>
              <c:layout>
                <c:manualLayout>
                  <c:x val="-2.4509803921568631E-2"/>
                  <c:y val="-2.6558799850766784E-2"/>
                </c:manualLayout>
              </c:layout>
              <c:dLblPos val="outEnd"/>
              <c:showVal val="1"/>
            </c:dLbl>
            <c:dLbl>
              <c:idx val="5"/>
              <c:layout>
                <c:manualLayout>
                  <c:x val="-4.1666666666666692E-2"/>
                  <c:y val="-4.5690550363447546E-2"/>
                </c:manualLayout>
              </c:layout>
              <c:dLblPos val="outEnd"/>
              <c:showVal val="1"/>
            </c:dLbl>
            <c:dLbl>
              <c:idx val="6"/>
              <c:layout>
                <c:manualLayout>
                  <c:x val="-1.4705882352941176E-2"/>
                  <c:y val="-3.3229491173416399E-2"/>
                </c:manualLayout>
              </c:layout>
              <c:dLblPos val="outEnd"/>
              <c:showVal val="1"/>
            </c:dLbl>
            <c:dLbl>
              <c:idx val="7"/>
              <c:layout>
                <c:manualLayout>
                  <c:x val="0"/>
                  <c:y val="-3.7383177570093878E-2"/>
                </c:manualLayout>
              </c:layout>
              <c:dLblPos val="outEnd"/>
              <c:showVal val="1"/>
            </c:dLbl>
            <c:dLbl>
              <c:idx val="8"/>
              <c:layout>
                <c:manualLayout>
                  <c:x val="1.9607843137254902E-2"/>
                  <c:y val="-1.6614745586708213E-2"/>
                </c:manualLayout>
              </c:layout>
              <c:dLblPos val="outEnd"/>
              <c:showVal val="1"/>
            </c:dLbl>
            <c:txPr>
              <a:bodyPr/>
              <a:lstStyle/>
              <a:p>
                <a:pPr>
                  <a:defRPr lang="ru-RU">
                    <a:latin typeface="Times New Roman" pitchFamily="18" charset="0"/>
                    <a:cs typeface="Times New Roman" pitchFamily="18" charset="0"/>
                  </a:defRPr>
                </a:pPr>
                <a:endParaRPr lang="uk-UA"/>
              </a:p>
            </c:txPr>
            <c:dLblPos val="outEnd"/>
            <c:showVal val="1"/>
            <c:showLeaderLines val="1"/>
          </c:dLbls>
          <c:cat>
            <c:strRef>
              <c:f>Лист1!$A$12:$A$17</c:f>
              <c:strCache>
                <c:ptCount val="6"/>
                <c:pt idx="0">
                  <c:v>Сільське господарство</c:v>
                </c:pt>
                <c:pt idx="1">
                  <c:v>Промисловість</c:v>
                </c:pt>
                <c:pt idx="2">
                  <c:v>Будівництво</c:v>
                </c:pt>
                <c:pt idx="3">
                  <c:v>Оптова та роздрібна торгівля</c:v>
                </c:pt>
                <c:pt idx="4">
                  <c:v>Транспорт та складське господарство</c:v>
                </c:pt>
                <c:pt idx="5">
                  <c:v>Операції з нерухомим майном</c:v>
                </c:pt>
              </c:strCache>
            </c:strRef>
          </c:cat>
          <c:val>
            <c:numRef>
              <c:f>Лист1!$B$12:$B$17</c:f>
              <c:numCache>
                <c:formatCode>General</c:formatCode>
                <c:ptCount val="6"/>
                <c:pt idx="0">
                  <c:v>19.7</c:v>
                </c:pt>
                <c:pt idx="1">
                  <c:v>112.8</c:v>
                </c:pt>
                <c:pt idx="2">
                  <c:v>30.7</c:v>
                </c:pt>
                <c:pt idx="3">
                  <c:v>45.8</c:v>
                </c:pt>
                <c:pt idx="4">
                  <c:v>31.2</c:v>
                </c:pt>
                <c:pt idx="5">
                  <c:v>2.9</c:v>
                </c:pt>
              </c:numCache>
            </c:numRef>
          </c:val>
        </c:ser>
        <c:dLbls>
          <c:showVal val="1"/>
        </c:dLbls>
      </c:pie3DChart>
    </c:plotArea>
    <c:legend>
      <c:legendPos val="r"/>
      <c:layout>
        <c:manualLayout>
          <c:xMode val="edge"/>
          <c:yMode val="edge"/>
          <c:x val="0.67791098804201533"/>
          <c:y val="7.3613031195528478E-2"/>
          <c:w val="0.3220890119579875"/>
          <c:h val="0.85277393760894715"/>
        </c:manualLayout>
      </c:layout>
      <c:txPr>
        <a:bodyPr/>
        <a:lstStyle/>
        <a:p>
          <a:pPr>
            <a:defRPr lang="ru-RU">
              <a:latin typeface="Times New Roman" pitchFamily="18" charset="0"/>
              <a:cs typeface="Times New Roman" pitchFamily="18" charset="0"/>
            </a:defRPr>
          </a:pPr>
          <a:endParaRPr lang="uk-UA"/>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AEA5-E31B-43DA-AE11-4B1BAB0E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4549</Words>
  <Characters>2594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GUEIP</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Vaschuk Serhiy</dc:creator>
  <cp:lastModifiedBy>USER</cp:lastModifiedBy>
  <cp:revision>4</cp:revision>
  <cp:lastPrinted>2016-01-12T14:31:00Z</cp:lastPrinted>
  <dcterms:created xsi:type="dcterms:W3CDTF">2016-01-13T10:43:00Z</dcterms:created>
  <dcterms:modified xsi:type="dcterms:W3CDTF">2016-03-16T10:52:00Z</dcterms:modified>
</cp:coreProperties>
</file>