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166F" w14:textId="77777777" w:rsidR="001B370A" w:rsidRDefault="001B370A" w:rsidP="00E45422">
      <w:pPr>
        <w:spacing w:after="0" w:line="240" w:lineRule="auto"/>
        <w:ind w:firstLine="567"/>
        <w:jc w:val="center"/>
        <w:rPr>
          <w:rFonts w:ascii="Times New Roman" w:hAnsi="Times New Roman"/>
          <w:b/>
          <w:color w:val="000000" w:themeColor="text1"/>
          <w:sz w:val="24"/>
          <w:szCs w:val="24"/>
        </w:rPr>
      </w:pPr>
    </w:p>
    <w:p w14:paraId="32B63E22" w14:textId="77777777" w:rsidR="001B370A" w:rsidRDefault="001B370A" w:rsidP="00E45422">
      <w:pPr>
        <w:spacing w:after="0" w:line="240" w:lineRule="auto"/>
        <w:ind w:firstLine="567"/>
        <w:jc w:val="center"/>
        <w:rPr>
          <w:rFonts w:ascii="Times New Roman" w:hAnsi="Times New Roman"/>
          <w:b/>
          <w:color w:val="000000" w:themeColor="text1"/>
          <w:sz w:val="24"/>
          <w:szCs w:val="24"/>
        </w:rPr>
      </w:pPr>
    </w:p>
    <w:p w14:paraId="45721E09" w14:textId="77777777" w:rsidR="001B370A" w:rsidRDefault="001B370A" w:rsidP="001B370A">
      <w:pPr>
        <w:spacing w:after="0" w:line="240" w:lineRule="auto"/>
        <w:ind w:firstLine="567"/>
        <w:jc w:val="right"/>
        <w:rPr>
          <w:rFonts w:ascii="Times New Roman" w:hAnsi="Times New Roman"/>
          <w:b/>
          <w:color w:val="000000" w:themeColor="text1"/>
          <w:sz w:val="24"/>
          <w:szCs w:val="24"/>
        </w:rPr>
      </w:pPr>
      <w:r w:rsidRPr="001B370A">
        <w:rPr>
          <w:rFonts w:ascii="Times New Roman" w:hAnsi="Times New Roman"/>
          <w:b/>
          <w:color w:val="000000" w:themeColor="text1"/>
          <w:sz w:val="24"/>
          <w:szCs w:val="24"/>
        </w:rPr>
        <w:t>Світлана Левицька, професор кафедри</w:t>
      </w:r>
    </w:p>
    <w:p w14:paraId="4D595552" w14:textId="01A8D7F9" w:rsidR="001B370A" w:rsidRDefault="001B370A" w:rsidP="001B370A">
      <w:pPr>
        <w:spacing w:after="0" w:line="240" w:lineRule="auto"/>
        <w:ind w:firstLine="567"/>
        <w:jc w:val="right"/>
        <w:rPr>
          <w:rFonts w:ascii="Times New Roman" w:hAnsi="Times New Roman"/>
          <w:b/>
          <w:color w:val="000000" w:themeColor="text1"/>
          <w:sz w:val="24"/>
          <w:szCs w:val="24"/>
        </w:rPr>
      </w:pPr>
      <w:r w:rsidRPr="001B370A">
        <w:rPr>
          <w:rFonts w:ascii="Times New Roman" w:hAnsi="Times New Roman"/>
          <w:b/>
          <w:color w:val="000000" w:themeColor="text1"/>
          <w:sz w:val="24"/>
          <w:szCs w:val="24"/>
        </w:rPr>
        <w:t xml:space="preserve"> обліку і аудиту НУВГП, аудитор ТОВ «ТРАСТ – АУДИТ»</w:t>
      </w:r>
    </w:p>
    <w:p w14:paraId="204DD824" w14:textId="77777777" w:rsidR="001B370A" w:rsidRDefault="001B370A" w:rsidP="001B370A">
      <w:pPr>
        <w:spacing w:after="0" w:line="240" w:lineRule="auto"/>
        <w:ind w:firstLine="567"/>
        <w:jc w:val="right"/>
        <w:rPr>
          <w:rFonts w:ascii="Times New Roman" w:hAnsi="Times New Roman"/>
          <w:b/>
          <w:color w:val="000000" w:themeColor="text1"/>
          <w:sz w:val="24"/>
          <w:szCs w:val="24"/>
        </w:rPr>
      </w:pPr>
    </w:p>
    <w:p w14:paraId="62076827" w14:textId="49F16916" w:rsidR="009F708F" w:rsidRPr="00E45422" w:rsidRDefault="009F708F" w:rsidP="00E45422">
      <w:pPr>
        <w:spacing w:after="0" w:line="240" w:lineRule="auto"/>
        <w:ind w:firstLine="567"/>
        <w:jc w:val="center"/>
        <w:rPr>
          <w:rFonts w:ascii="Times New Roman" w:hAnsi="Times New Roman"/>
          <w:b/>
          <w:color w:val="000000" w:themeColor="text1"/>
          <w:sz w:val="24"/>
          <w:szCs w:val="24"/>
        </w:rPr>
      </w:pPr>
      <w:r w:rsidRPr="00E45422">
        <w:rPr>
          <w:rFonts w:ascii="Times New Roman" w:hAnsi="Times New Roman"/>
          <w:b/>
          <w:color w:val="000000" w:themeColor="text1"/>
          <w:sz w:val="24"/>
          <w:szCs w:val="24"/>
        </w:rPr>
        <w:t>ОБЛІК І ЗВІТНІСТЬ</w:t>
      </w:r>
    </w:p>
    <w:p w14:paraId="2227587A" w14:textId="77777777" w:rsidR="009F708F" w:rsidRPr="00E45422" w:rsidRDefault="009F708F" w:rsidP="00E45422">
      <w:pPr>
        <w:spacing w:after="0" w:line="240" w:lineRule="auto"/>
        <w:ind w:firstLine="567"/>
        <w:jc w:val="center"/>
        <w:textAlignment w:val="baseline"/>
        <w:outlineLvl w:val="0"/>
        <w:rPr>
          <w:rFonts w:ascii="Times New Roman" w:eastAsia="Times New Roman" w:hAnsi="Times New Roman"/>
          <w:b/>
          <w:color w:val="000000" w:themeColor="text1"/>
          <w:sz w:val="24"/>
          <w:szCs w:val="24"/>
          <w:lang w:eastAsia="ru-RU"/>
        </w:rPr>
      </w:pPr>
      <w:r w:rsidRPr="00E45422">
        <w:rPr>
          <w:rFonts w:ascii="Times New Roman" w:hAnsi="Times New Roman"/>
          <w:b/>
          <w:bCs/>
          <w:color w:val="000000" w:themeColor="text1"/>
          <w:sz w:val="24"/>
          <w:szCs w:val="24"/>
        </w:rPr>
        <w:t xml:space="preserve">Єдиний формат – XBRL: затверджено оновлені вимоги до порядку подання </w:t>
      </w:r>
      <w:proofErr w:type="spellStart"/>
      <w:r w:rsidRPr="00E45422">
        <w:rPr>
          <w:rFonts w:ascii="Times New Roman" w:hAnsi="Times New Roman"/>
          <w:b/>
          <w:bCs/>
          <w:color w:val="000000" w:themeColor="text1"/>
          <w:sz w:val="24"/>
          <w:szCs w:val="24"/>
        </w:rPr>
        <w:t>фінзвітності</w:t>
      </w:r>
      <w:proofErr w:type="spellEnd"/>
    </w:p>
    <w:p w14:paraId="164AEB19" w14:textId="77777777" w:rsidR="009F708F" w:rsidRPr="00E45422" w:rsidRDefault="009F708F" w:rsidP="00E45422">
      <w:pPr>
        <w:widowControl w:val="0"/>
        <w:spacing w:after="0" w:line="240" w:lineRule="auto"/>
        <w:ind w:firstLine="567"/>
        <w:jc w:val="both"/>
        <w:rPr>
          <w:rFonts w:ascii="Times New Roman" w:eastAsia="Times New Roman" w:hAnsi="Times New Roman"/>
          <w:color w:val="000000" w:themeColor="text1"/>
          <w:sz w:val="24"/>
          <w:szCs w:val="24"/>
          <w:lang w:eastAsia="ru-RU"/>
        </w:rPr>
      </w:pPr>
      <w:r w:rsidRPr="00E45422">
        <w:rPr>
          <w:rFonts w:ascii="Times New Roman" w:eastAsia="Times New Roman" w:hAnsi="Times New Roman"/>
          <w:color w:val="000000" w:themeColor="text1"/>
          <w:sz w:val="24"/>
          <w:szCs w:val="24"/>
          <w:lang w:eastAsia="ru-RU"/>
        </w:rPr>
        <w:t xml:space="preserve">НКЦПФР на своєму засіданні 19 вересня затвердила рішення щодо змін у порядку подання </w:t>
      </w:r>
      <w:proofErr w:type="spellStart"/>
      <w:r w:rsidRPr="00E45422">
        <w:rPr>
          <w:rFonts w:ascii="Times New Roman" w:eastAsia="Times New Roman" w:hAnsi="Times New Roman"/>
          <w:color w:val="000000" w:themeColor="text1"/>
          <w:sz w:val="24"/>
          <w:szCs w:val="24"/>
          <w:lang w:eastAsia="ru-RU"/>
        </w:rPr>
        <w:t>фінзвітності</w:t>
      </w:r>
      <w:proofErr w:type="spellEnd"/>
      <w:r w:rsidRPr="00E45422">
        <w:rPr>
          <w:rFonts w:ascii="Times New Roman" w:eastAsia="Times New Roman" w:hAnsi="Times New Roman"/>
          <w:color w:val="000000" w:themeColor="text1"/>
          <w:sz w:val="24"/>
          <w:szCs w:val="24"/>
          <w:lang w:eastAsia="ru-RU"/>
        </w:rPr>
        <w:t xml:space="preserve">. Ці зміни будуть введені в дію з </w:t>
      </w:r>
      <w:r w:rsidRPr="00E45422">
        <w:rPr>
          <w:rFonts w:ascii="Times New Roman" w:eastAsia="Times New Roman" w:hAnsi="Times New Roman"/>
          <w:i/>
          <w:iCs/>
          <w:color w:val="000000" w:themeColor="text1"/>
          <w:sz w:val="24"/>
          <w:szCs w:val="24"/>
          <w:lang w:eastAsia="ru-RU"/>
        </w:rPr>
        <w:t>01 листопада 2025</w:t>
      </w:r>
      <w:r w:rsidRPr="00E45422">
        <w:rPr>
          <w:rFonts w:ascii="Times New Roman" w:eastAsia="Times New Roman" w:hAnsi="Times New Roman"/>
          <w:color w:val="000000" w:themeColor="text1"/>
          <w:sz w:val="24"/>
          <w:szCs w:val="24"/>
          <w:lang w:eastAsia="ru-RU"/>
        </w:rPr>
        <w:t xml:space="preserve"> року. Попередньо документ був оприлюднений до обговорення з </w:t>
      </w:r>
      <w:proofErr w:type="spellStart"/>
      <w:r w:rsidRPr="00E45422">
        <w:rPr>
          <w:rFonts w:ascii="Times New Roman" w:eastAsia="Times New Roman" w:hAnsi="Times New Roman"/>
          <w:color w:val="000000" w:themeColor="text1"/>
          <w:sz w:val="24"/>
          <w:szCs w:val="24"/>
          <w:lang w:eastAsia="ru-RU"/>
        </w:rPr>
        <w:t>профучасниками</w:t>
      </w:r>
      <w:proofErr w:type="spellEnd"/>
      <w:r w:rsidRPr="00E45422">
        <w:rPr>
          <w:rFonts w:ascii="Times New Roman" w:eastAsia="Times New Roman" w:hAnsi="Times New Roman"/>
          <w:color w:val="000000" w:themeColor="text1"/>
          <w:sz w:val="24"/>
          <w:szCs w:val="24"/>
          <w:lang w:eastAsia="ru-RU"/>
        </w:rPr>
        <w:t>. Всі пропозиції були детально опрацьовані та більшість з них враховані.</w:t>
      </w:r>
    </w:p>
    <w:p w14:paraId="0A332044" w14:textId="33A9EC4E" w:rsidR="009F708F" w:rsidRPr="00E45422" w:rsidRDefault="009F708F" w:rsidP="00E45422">
      <w:pPr>
        <w:widowControl w:val="0"/>
        <w:spacing w:after="0" w:line="240" w:lineRule="auto"/>
        <w:ind w:firstLine="567"/>
        <w:jc w:val="both"/>
        <w:rPr>
          <w:rFonts w:ascii="Times New Roman" w:eastAsia="Times New Roman" w:hAnsi="Times New Roman"/>
          <w:color w:val="000000" w:themeColor="text1"/>
          <w:sz w:val="24"/>
          <w:szCs w:val="24"/>
          <w:lang w:eastAsia="ru-RU"/>
        </w:rPr>
      </w:pPr>
      <w:r w:rsidRPr="00E45422">
        <w:rPr>
          <w:rFonts w:ascii="Times New Roman" w:eastAsia="Times New Roman" w:hAnsi="Times New Roman"/>
          <w:color w:val="000000" w:themeColor="text1"/>
          <w:sz w:val="24"/>
          <w:szCs w:val="24"/>
          <w:lang w:eastAsia="ru-RU"/>
        </w:rPr>
        <w:t xml:space="preserve">Затвердженню рішення Комісією передувала активна робота з підготовки змін до актів НКЦПФР. Зокрема, документ скасовує вимогу подавати фінансову звітність у форматі XML та встановлює єдиний обов’язковий формат: </w:t>
      </w:r>
      <w:r w:rsidRPr="00E45422">
        <w:rPr>
          <w:rFonts w:ascii="Times New Roman" w:eastAsia="Times New Roman" w:hAnsi="Times New Roman"/>
          <w:i/>
          <w:iCs/>
          <w:color w:val="000000" w:themeColor="text1"/>
          <w:sz w:val="24"/>
          <w:szCs w:val="24"/>
          <w:lang w:eastAsia="ru-RU"/>
        </w:rPr>
        <w:t xml:space="preserve">фінансова звітність за міжнародними стандартами подаватиметься виключно у форматі XBRL через Центр збору </w:t>
      </w:r>
      <w:proofErr w:type="spellStart"/>
      <w:r w:rsidRPr="00E45422">
        <w:rPr>
          <w:rFonts w:ascii="Times New Roman" w:eastAsia="Times New Roman" w:hAnsi="Times New Roman"/>
          <w:i/>
          <w:iCs/>
          <w:color w:val="000000" w:themeColor="text1"/>
          <w:sz w:val="24"/>
          <w:szCs w:val="24"/>
          <w:lang w:eastAsia="ru-RU"/>
        </w:rPr>
        <w:t>фінзвітності</w:t>
      </w:r>
      <w:proofErr w:type="spellEnd"/>
      <w:r w:rsidRPr="00E45422">
        <w:rPr>
          <w:rFonts w:ascii="Times New Roman" w:eastAsia="Times New Roman" w:hAnsi="Times New Roman"/>
          <w:i/>
          <w:iCs/>
          <w:color w:val="000000" w:themeColor="text1"/>
          <w:sz w:val="24"/>
          <w:szCs w:val="24"/>
          <w:lang w:eastAsia="ru-RU"/>
        </w:rPr>
        <w:t xml:space="preserve"> (ЦЗФЗ)</w:t>
      </w:r>
      <w:r w:rsidRPr="00E45422">
        <w:rPr>
          <w:rFonts w:ascii="Times New Roman" w:eastAsia="Times New Roman" w:hAnsi="Times New Roman"/>
          <w:color w:val="000000" w:themeColor="text1"/>
          <w:sz w:val="24"/>
          <w:szCs w:val="24"/>
          <w:lang w:eastAsia="ru-RU"/>
        </w:rPr>
        <w:t>.</w:t>
      </w:r>
    </w:p>
    <w:p w14:paraId="754CA072" w14:textId="77777777" w:rsidR="009F708F" w:rsidRPr="00E45422" w:rsidRDefault="009F708F" w:rsidP="00E45422">
      <w:pPr>
        <w:spacing w:after="0" w:line="240" w:lineRule="auto"/>
        <w:ind w:firstLine="567"/>
        <w:rPr>
          <w:rFonts w:ascii="Times New Roman" w:hAnsi="Times New Roman"/>
          <w:b/>
          <w:color w:val="000000" w:themeColor="text1"/>
          <w:sz w:val="24"/>
          <w:szCs w:val="24"/>
        </w:rPr>
      </w:pPr>
    </w:p>
    <w:p w14:paraId="4393BA15" w14:textId="664946BC" w:rsidR="009F708F" w:rsidRPr="00E45422" w:rsidRDefault="009F708F" w:rsidP="00E45422">
      <w:pPr>
        <w:spacing w:after="0" w:line="240" w:lineRule="auto"/>
        <w:ind w:firstLine="567"/>
        <w:jc w:val="center"/>
        <w:rPr>
          <w:rFonts w:ascii="Times New Roman" w:hAnsi="Times New Roman"/>
          <w:b/>
          <w:color w:val="000000" w:themeColor="text1"/>
          <w:sz w:val="24"/>
          <w:szCs w:val="24"/>
        </w:rPr>
      </w:pPr>
      <w:r w:rsidRPr="00E45422">
        <w:rPr>
          <w:rFonts w:ascii="Times New Roman" w:hAnsi="Times New Roman"/>
          <w:b/>
          <w:color w:val="000000" w:themeColor="text1"/>
          <w:sz w:val="24"/>
          <w:szCs w:val="24"/>
        </w:rPr>
        <w:t>ТРУДОВІ ВІДНОСИНИ</w:t>
      </w:r>
    </w:p>
    <w:p w14:paraId="5CBE54B3" w14:textId="77777777" w:rsidR="009F708F" w:rsidRPr="00E45422" w:rsidRDefault="009F708F" w:rsidP="00E45422">
      <w:pPr>
        <w:spacing w:after="0" w:line="240" w:lineRule="auto"/>
        <w:ind w:firstLine="567"/>
        <w:jc w:val="center"/>
        <w:textAlignment w:val="baseline"/>
        <w:outlineLvl w:val="0"/>
        <w:rPr>
          <w:rFonts w:ascii="Times New Roman" w:eastAsia="Times New Roman" w:hAnsi="Times New Roman"/>
          <w:b/>
          <w:color w:val="000000" w:themeColor="text1"/>
          <w:sz w:val="24"/>
          <w:szCs w:val="24"/>
          <w:lang w:eastAsia="ru-RU"/>
        </w:rPr>
      </w:pPr>
      <w:r w:rsidRPr="00E45422">
        <w:rPr>
          <w:rFonts w:ascii="Times New Roman" w:hAnsi="Times New Roman"/>
          <w:b/>
          <w:bCs/>
          <w:color w:val="000000" w:themeColor="text1"/>
          <w:sz w:val="24"/>
          <w:szCs w:val="24"/>
        </w:rPr>
        <w:t>Несвоєчасна виплата зарплати у воєнний час: що каже закон</w:t>
      </w:r>
    </w:p>
    <w:p w14:paraId="61287D10" w14:textId="77777777" w:rsidR="009F708F" w:rsidRPr="00E45422" w:rsidRDefault="009F708F" w:rsidP="00E45422">
      <w:pPr>
        <w:widowControl w:val="0"/>
        <w:spacing w:after="0" w:line="240" w:lineRule="auto"/>
        <w:ind w:firstLine="567"/>
        <w:jc w:val="both"/>
        <w:rPr>
          <w:rFonts w:ascii="Times New Roman" w:eastAsia="Times New Roman" w:hAnsi="Times New Roman"/>
          <w:color w:val="000000" w:themeColor="text1"/>
          <w:sz w:val="24"/>
          <w:szCs w:val="24"/>
          <w:lang w:eastAsia="ru-RU"/>
        </w:rPr>
      </w:pPr>
      <w:r w:rsidRPr="00E45422">
        <w:rPr>
          <w:rFonts w:ascii="Times New Roman" w:eastAsia="Times New Roman" w:hAnsi="Times New Roman"/>
          <w:color w:val="000000" w:themeColor="text1"/>
          <w:sz w:val="24"/>
          <w:szCs w:val="24"/>
          <w:lang w:eastAsia="ru-RU"/>
        </w:rPr>
        <w:t xml:space="preserve">У воєнний час питання виплати заробітної плати набуло особливої ваги. Законодавство передбачає, що роботодавець може бути звільнений від відповідальності за затримку зарплати, </w:t>
      </w:r>
      <w:r w:rsidRPr="001B370A">
        <w:rPr>
          <w:rFonts w:ascii="Times New Roman" w:eastAsia="Times New Roman" w:hAnsi="Times New Roman"/>
          <w:i/>
          <w:iCs/>
          <w:color w:val="000000" w:themeColor="text1"/>
          <w:sz w:val="24"/>
          <w:szCs w:val="24"/>
          <w:lang w:eastAsia="ru-RU"/>
        </w:rPr>
        <w:t>якщо доведе, що прострочення сталося через бойові дії чи інші обставини непереборної сили.</w:t>
      </w:r>
      <w:r w:rsidRPr="00E45422">
        <w:rPr>
          <w:rFonts w:ascii="Times New Roman" w:eastAsia="Times New Roman" w:hAnsi="Times New Roman"/>
          <w:color w:val="000000" w:themeColor="text1"/>
          <w:sz w:val="24"/>
          <w:szCs w:val="24"/>
          <w:lang w:eastAsia="ru-RU"/>
        </w:rPr>
        <w:t xml:space="preserve"> Водночас це правило не означає, що роботодавець може не платити працівникам – обов’язок здійснити виплату зберігається у повному обсязі.</w:t>
      </w:r>
    </w:p>
    <w:p w14:paraId="6952C44C" w14:textId="77777777" w:rsidR="009F708F" w:rsidRPr="00E45422" w:rsidRDefault="009F708F" w:rsidP="00E45422">
      <w:pPr>
        <w:widowControl w:val="0"/>
        <w:spacing w:after="0" w:line="240" w:lineRule="auto"/>
        <w:ind w:firstLine="567"/>
        <w:jc w:val="both"/>
        <w:rPr>
          <w:rFonts w:ascii="Times New Roman" w:eastAsia="Times New Roman" w:hAnsi="Times New Roman"/>
          <w:color w:val="000000" w:themeColor="text1"/>
          <w:sz w:val="24"/>
          <w:szCs w:val="24"/>
          <w:lang w:eastAsia="ru-RU"/>
        </w:rPr>
      </w:pPr>
      <w:r w:rsidRPr="00E45422">
        <w:rPr>
          <w:rFonts w:ascii="Times New Roman" w:eastAsia="Times New Roman" w:hAnsi="Times New Roman"/>
          <w:color w:val="000000" w:themeColor="text1"/>
          <w:sz w:val="24"/>
          <w:szCs w:val="24"/>
          <w:lang w:eastAsia="ru-RU"/>
        </w:rPr>
        <w:t xml:space="preserve">Згідно з ч. 3 ст. 10 Закону України від 15  березня 2022 року № 2136-IX «Про організацію трудових відносин в умовах воєнного стану», звільнення від відповідальності за прострочення можливе лише у разі доведеного впливу воєнних дій чи форс-мажору. </w:t>
      </w:r>
      <w:r w:rsidRPr="00E45422">
        <w:rPr>
          <w:rFonts w:ascii="Times New Roman" w:eastAsia="Times New Roman" w:hAnsi="Times New Roman"/>
          <w:i/>
          <w:iCs/>
          <w:color w:val="000000" w:themeColor="text1"/>
          <w:sz w:val="24"/>
          <w:szCs w:val="24"/>
          <w:lang w:eastAsia="ru-RU"/>
        </w:rPr>
        <w:t>При цьому роботодавець зобов’язаний вживати всіх можливих заходів, щоб гарантувати право працівників на своєчасну зарплату</w:t>
      </w:r>
      <w:r w:rsidRPr="00E45422">
        <w:rPr>
          <w:rFonts w:ascii="Times New Roman" w:eastAsia="Times New Roman" w:hAnsi="Times New Roman"/>
          <w:color w:val="000000" w:themeColor="text1"/>
          <w:sz w:val="24"/>
          <w:szCs w:val="24"/>
          <w:lang w:eastAsia="ru-RU"/>
        </w:rPr>
        <w:t>: шукати резерви, оптимізувати процеси та забезпечувати хоча б часткові виплати, якщо повна сума наразі недосяжна.</w:t>
      </w:r>
    </w:p>
    <w:p w14:paraId="2741909F" w14:textId="77777777" w:rsidR="009F708F" w:rsidRPr="00E45422" w:rsidRDefault="009F708F" w:rsidP="00E45422">
      <w:pPr>
        <w:widowControl w:val="0"/>
        <w:spacing w:after="0" w:line="240" w:lineRule="auto"/>
        <w:ind w:firstLine="567"/>
        <w:jc w:val="both"/>
        <w:rPr>
          <w:rFonts w:ascii="Times New Roman" w:eastAsia="Times New Roman" w:hAnsi="Times New Roman"/>
          <w:color w:val="000000" w:themeColor="text1"/>
          <w:sz w:val="24"/>
          <w:szCs w:val="24"/>
          <w:lang w:eastAsia="ru-RU"/>
        </w:rPr>
      </w:pPr>
      <w:r w:rsidRPr="00E45422">
        <w:rPr>
          <w:rFonts w:ascii="Times New Roman" w:eastAsia="Times New Roman" w:hAnsi="Times New Roman"/>
          <w:color w:val="000000" w:themeColor="text1"/>
          <w:sz w:val="24"/>
          <w:szCs w:val="24"/>
          <w:lang w:eastAsia="ru-RU"/>
        </w:rPr>
        <w:t>Таким чином, навіть у надзвичайних умовах працівники не втрачають свого законного права на оплату праці, а роботодавці мають балансувати між об’єктивними труднощами війни та збереженням соціальних гарантій.</w:t>
      </w:r>
    </w:p>
    <w:p w14:paraId="1EC43EC9" w14:textId="77777777" w:rsidR="001B370A" w:rsidRDefault="001B370A" w:rsidP="00E45422">
      <w:pPr>
        <w:pStyle w:val="a5"/>
        <w:shd w:val="clear" w:color="auto" w:fill="FFFFFF"/>
        <w:spacing w:before="0" w:beforeAutospacing="0" w:after="0" w:afterAutospacing="0"/>
        <w:ind w:firstLine="567"/>
        <w:jc w:val="center"/>
        <w:rPr>
          <w:b/>
          <w:bCs/>
          <w:color w:val="000000" w:themeColor="text1"/>
        </w:rPr>
      </w:pPr>
    </w:p>
    <w:p w14:paraId="5898EAE8" w14:textId="6569969F" w:rsidR="0059491B" w:rsidRPr="00E45422" w:rsidRDefault="0059491B" w:rsidP="00E45422">
      <w:pPr>
        <w:pStyle w:val="a5"/>
        <w:shd w:val="clear" w:color="auto" w:fill="FFFFFF"/>
        <w:spacing w:before="0" w:beforeAutospacing="0" w:after="0" w:afterAutospacing="0"/>
        <w:ind w:firstLine="567"/>
        <w:jc w:val="center"/>
        <w:rPr>
          <w:b/>
          <w:bCs/>
          <w:color w:val="000000" w:themeColor="text1"/>
        </w:rPr>
      </w:pPr>
      <w:r w:rsidRPr="00E45422">
        <w:rPr>
          <w:b/>
          <w:bCs/>
          <w:color w:val="000000" w:themeColor="text1"/>
        </w:rPr>
        <w:t>ЗМІНИ ВЛАСНОГО КАПІТАЛУ</w:t>
      </w:r>
    </w:p>
    <w:p w14:paraId="46ACF341" w14:textId="77777777" w:rsidR="0059491B" w:rsidRPr="00E45422" w:rsidRDefault="0059491B" w:rsidP="00E45422">
      <w:pPr>
        <w:shd w:val="clear" w:color="auto" w:fill="FFFFFF"/>
        <w:spacing w:after="0" w:line="240" w:lineRule="auto"/>
        <w:ind w:firstLine="567"/>
        <w:jc w:val="both"/>
        <w:rPr>
          <w:rFonts w:ascii="Times New Roman" w:eastAsia="Times New Roman" w:hAnsi="Times New Roman"/>
          <w:b/>
          <w:bCs/>
          <w:color w:val="000000" w:themeColor="text1"/>
          <w:sz w:val="24"/>
          <w:szCs w:val="24"/>
          <w:lang w:eastAsia="uk-UA"/>
        </w:rPr>
      </w:pPr>
      <w:r w:rsidRPr="00E45422">
        <w:rPr>
          <w:rFonts w:ascii="Times New Roman" w:eastAsia="Times New Roman" w:hAnsi="Times New Roman"/>
          <w:color w:val="000000" w:themeColor="text1"/>
          <w:sz w:val="24"/>
          <w:szCs w:val="24"/>
          <w:lang w:eastAsia="uk-UA"/>
        </w:rPr>
        <w:t xml:space="preserve">         </w:t>
      </w:r>
      <w:r w:rsidRPr="00E45422">
        <w:rPr>
          <w:rFonts w:ascii="Times New Roman" w:eastAsia="Times New Roman" w:hAnsi="Times New Roman"/>
          <w:b/>
          <w:bCs/>
          <w:color w:val="000000" w:themeColor="text1"/>
          <w:sz w:val="24"/>
          <w:szCs w:val="24"/>
          <w:lang w:eastAsia="uk-UA"/>
        </w:rPr>
        <w:t>Внесення додаткового капіталу: облік у інвестора та отримувача</w:t>
      </w:r>
    </w:p>
    <w:p w14:paraId="45708B03" w14:textId="77777777"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
          <w:bCs/>
          <w:color w:val="000000" w:themeColor="text1"/>
          <w:sz w:val="24"/>
          <w:szCs w:val="24"/>
          <w:lang w:eastAsia="uk-UA"/>
        </w:rPr>
        <w:t>Внесення додаткового капіталу: аналіз закону №4564  від 31.07.25 року</w:t>
      </w:r>
      <w:r w:rsidRPr="00E45422">
        <w:rPr>
          <w:rFonts w:ascii="Times New Roman" w:eastAsia="Times New Roman" w:hAnsi="Times New Roman"/>
          <w:bCs/>
          <w:color w:val="000000" w:themeColor="text1"/>
          <w:sz w:val="24"/>
          <w:szCs w:val="24"/>
          <w:lang w:eastAsia="uk-UA"/>
        </w:rPr>
        <w:t xml:space="preserve"> «Про внесення змін до ст. 12 Закону України «Про товариства з обмеженою та додатковою відповідальністю». </w:t>
      </w:r>
    </w:p>
    <w:p w14:paraId="0991D693" w14:textId="77777777" w:rsidR="0059491B" w:rsidRPr="001B370A" w:rsidRDefault="0059491B" w:rsidP="00E45422">
      <w:pPr>
        <w:shd w:val="clear" w:color="auto" w:fill="FFFFFF"/>
        <w:spacing w:after="0" w:line="240" w:lineRule="auto"/>
        <w:ind w:firstLine="567"/>
        <w:jc w:val="both"/>
        <w:rPr>
          <w:rFonts w:ascii="Times New Roman" w:eastAsia="Times New Roman" w:hAnsi="Times New Roman"/>
          <w:bCs/>
          <w:i/>
          <w:i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          </w:t>
      </w:r>
      <w:r w:rsidRPr="001B370A">
        <w:rPr>
          <w:rFonts w:ascii="Times New Roman" w:eastAsia="Times New Roman" w:hAnsi="Times New Roman"/>
          <w:bCs/>
          <w:i/>
          <w:iCs/>
          <w:color w:val="000000" w:themeColor="text1"/>
          <w:sz w:val="24"/>
          <w:szCs w:val="24"/>
          <w:lang w:eastAsia="uk-UA"/>
        </w:rPr>
        <w:t>Суть змін:</w:t>
      </w:r>
    </w:p>
    <w:p w14:paraId="3AE168C5" w14:textId="553F62A6"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1B370A">
        <w:rPr>
          <w:rFonts w:ascii="Times New Roman" w:eastAsia="Times New Roman" w:hAnsi="Times New Roman"/>
          <w:bCs/>
          <w:color w:val="000000" w:themeColor="text1"/>
          <w:sz w:val="24"/>
          <w:szCs w:val="24"/>
          <w:lang w:eastAsia="uk-UA"/>
        </w:rPr>
        <w:t>1) ТОВ окремо від статутного</w:t>
      </w:r>
      <w:r w:rsidRPr="00E45422">
        <w:rPr>
          <w:rFonts w:ascii="Times New Roman" w:eastAsia="Times New Roman" w:hAnsi="Times New Roman"/>
          <w:bCs/>
          <w:color w:val="000000" w:themeColor="text1"/>
          <w:sz w:val="24"/>
          <w:szCs w:val="24"/>
          <w:lang w:eastAsia="uk-UA"/>
        </w:rPr>
        <w:t xml:space="preserve"> капіталу може створювати додатковий капітал за рахунок вкладів (внесків) його учасників. Вклади  до додаткового капіталу товариства вносяться без зміни номінальної вартості або зміни розміру статутного капіталу товариства. </w:t>
      </w:r>
    </w:p>
    <w:p w14:paraId="747D1D36" w14:textId="5B9BA65A"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У рішенні загальних зборів учасників товариства про залучення визначається розмір такого вкладу. При цьому, вносити можна: гроші, цінні папери, інше майно, якщо інше не встановлено законом (</w:t>
      </w:r>
      <w:hyperlink r:id="rId7" w:anchor="pn71" w:tgtFrame="_blank" w:history="1">
        <w:r w:rsidRPr="00E45422">
          <w:rPr>
            <w:rStyle w:val="a3"/>
            <w:rFonts w:ascii="Times New Roman" w:eastAsia="Times New Roman" w:hAnsi="Times New Roman"/>
            <w:bCs/>
            <w:color w:val="000000" w:themeColor="text1"/>
            <w:sz w:val="24"/>
            <w:szCs w:val="24"/>
            <w:u w:val="none"/>
            <w:lang w:eastAsia="uk-UA"/>
          </w:rPr>
          <w:t>п.4 ст.12 Закону про ТОВ</w:t>
        </w:r>
      </w:hyperlink>
      <w:r w:rsidRPr="00E45422">
        <w:rPr>
          <w:rFonts w:ascii="Times New Roman" w:eastAsia="Times New Roman" w:hAnsi="Times New Roman"/>
          <w:bCs/>
          <w:color w:val="000000" w:themeColor="text1"/>
          <w:sz w:val="24"/>
          <w:szCs w:val="24"/>
          <w:lang w:eastAsia="uk-UA"/>
        </w:rPr>
        <w:t>).</w:t>
      </w:r>
    </w:p>
    <w:p w14:paraId="7ED6A40A" w14:textId="3B849C18"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2) Статут товариства та/або корпоративний договір можуть визначати правовий режим майна, внесеного до додаткового капіталу, порядок розпорядження ним, обсяг прав та обов’язків учасників, а також правила взаємодії між ними та з товариством (</w:t>
      </w:r>
      <w:hyperlink r:id="rId8" w:anchor="pn71" w:tgtFrame="_blank" w:history="1">
        <w:r w:rsidRPr="00E45422">
          <w:rPr>
            <w:rStyle w:val="a3"/>
            <w:rFonts w:ascii="Times New Roman" w:eastAsia="Times New Roman" w:hAnsi="Times New Roman"/>
            <w:bCs/>
            <w:color w:val="000000" w:themeColor="text1"/>
            <w:sz w:val="24"/>
            <w:szCs w:val="24"/>
            <w:u w:val="none"/>
            <w:lang w:eastAsia="uk-UA"/>
          </w:rPr>
          <w:t>п.4 ст.12 Закону про ТОВ</w:t>
        </w:r>
      </w:hyperlink>
      <w:r w:rsidRPr="00E45422">
        <w:rPr>
          <w:rFonts w:ascii="Times New Roman" w:eastAsia="Times New Roman" w:hAnsi="Times New Roman"/>
          <w:bCs/>
          <w:color w:val="000000" w:themeColor="text1"/>
          <w:sz w:val="24"/>
          <w:szCs w:val="24"/>
          <w:lang w:eastAsia="uk-UA"/>
        </w:rPr>
        <w:t xml:space="preserve">). Для товариства-засновника це означає: тепер є пряма норма, якою закріплено  права товариств з обмеженою та додатковою відповідальністю створювати додатковий капітал. При цьому, порядок розпорядження ним, обсяг прав та обов’язків учасників має бути визначено у </w:t>
      </w:r>
      <w:r w:rsidRPr="00E45422">
        <w:rPr>
          <w:rFonts w:ascii="Times New Roman" w:eastAsia="Times New Roman" w:hAnsi="Times New Roman"/>
          <w:bCs/>
          <w:color w:val="000000" w:themeColor="text1"/>
          <w:sz w:val="24"/>
          <w:szCs w:val="24"/>
          <w:lang w:eastAsia="uk-UA"/>
        </w:rPr>
        <w:lastRenderedPageBreak/>
        <w:t>статуті або корпоративному договорі. Тобто ТОВ засновник має зразу визначити долю вкладу і це суттєво впливає на порядок відображення даної операції в обліку.</w:t>
      </w:r>
    </w:p>
    <w:p w14:paraId="0B60048E" w14:textId="144979E3"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Адже для правильного відображення в обліку будь-якої господарської операції, ключовим є визначення економічної суті цієї операції та умов.</w:t>
      </w:r>
    </w:p>
    <w:p w14:paraId="7D9B64DE" w14:textId="4B46A6CB"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Найпоширеніші варіанти відповідно до наведених  умов:</w:t>
      </w:r>
    </w:p>
    <w:p w14:paraId="4D799C12" w14:textId="0B0A4165"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Варіант 1. Внесок до статутного капіталу (збільшення статутного капіталу). Це класичний варіант, який передбачає офіційну процедуру збільшення статутного капіталу компанії, яка отримує внесок. В обліку у засновника-інвестора це відображається як фінансова інвестиція:     </w:t>
      </w:r>
      <w:proofErr w:type="spellStart"/>
      <w:r w:rsidRPr="00E45422">
        <w:rPr>
          <w:rFonts w:ascii="Times New Roman" w:eastAsia="Times New Roman" w:hAnsi="Times New Roman"/>
          <w:bCs/>
          <w:color w:val="000000" w:themeColor="text1"/>
          <w:sz w:val="24"/>
          <w:szCs w:val="24"/>
          <w:lang w:eastAsia="uk-UA"/>
        </w:rPr>
        <w:t>Дт</w:t>
      </w:r>
      <w:proofErr w:type="spellEnd"/>
      <w:r w:rsidRPr="00E45422">
        <w:rPr>
          <w:rFonts w:ascii="Times New Roman" w:eastAsia="Times New Roman" w:hAnsi="Times New Roman"/>
          <w:bCs/>
          <w:color w:val="000000" w:themeColor="text1"/>
          <w:sz w:val="24"/>
          <w:szCs w:val="24"/>
          <w:lang w:eastAsia="uk-UA"/>
        </w:rPr>
        <w:t xml:space="preserve"> 14 </w:t>
      </w:r>
      <w:proofErr w:type="spellStart"/>
      <w:r w:rsidRPr="00E45422">
        <w:rPr>
          <w:rFonts w:ascii="Times New Roman" w:eastAsia="Times New Roman" w:hAnsi="Times New Roman"/>
          <w:bCs/>
          <w:color w:val="000000" w:themeColor="text1"/>
          <w:sz w:val="24"/>
          <w:szCs w:val="24"/>
          <w:lang w:eastAsia="uk-UA"/>
        </w:rPr>
        <w:t>Кт</w:t>
      </w:r>
      <w:proofErr w:type="spellEnd"/>
      <w:r w:rsidRPr="00E45422">
        <w:rPr>
          <w:rFonts w:ascii="Times New Roman" w:eastAsia="Times New Roman" w:hAnsi="Times New Roman"/>
          <w:bCs/>
          <w:color w:val="000000" w:themeColor="text1"/>
          <w:sz w:val="24"/>
          <w:szCs w:val="24"/>
          <w:lang w:eastAsia="uk-UA"/>
        </w:rPr>
        <w:t xml:space="preserve"> 31,30;</w:t>
      </w:r>
    </w:p>
    <w:p w14:paraId="4D654F75" w14:textId="398D6E46"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Варіант 2. Внесок до додаткового капіталу (без збільшення статутного капіталу).                      Законодавство дозволяє робити внески без зміни розміру статутного капіталу. Такі внески не впливають на частки учасників, а спрямовуються на формування додаткового капіталу компанії - отримувача. А от ТОВ-засновник першочергово має визначитись з «подальшою долею таких вкладів», зокрема, дані вклади: </w:t>
      </w:r>
    </w:p>
    <w:p w14:paraId="42A60B14" w14:textId="77777777" w:rsidR="0059491B" w:rsidRPr="00E45422" w:rsidRDefault="0059491B" w:rsidP="00E45422">
      <w:pPr>
        <w:numPr>
          <w:ilvl w:val="0"/>
          <w:numId w:val="13"/>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буде </w:t>
      </w:r>
      <w:proofErr w:type="spellStart"/>
      <w:r w:rsidRPr="00E45422">
        <w:rPr>
          <w:rFonts w:ascii="Times New Roman" w:eastAsia="Times New Roman" w:hAnsi="Times New Roman"/>
          <w:bCs/>
          <w:color w:val="000000" w:themeColor="text1"/>
          <w:sz w:val="24"/>
          <w:szCs w:val="24"/>
          <w:lang w:eastAsia="uk-UA"/>
        </w:rPr>
        <w:t>повернено</w:t>
      </w:r>
      <w:proofErr w:type="spellEnd"/>
      <w:r w:rsidRPr="00E45422">
        <w:rPr>
          <w:rFonts w:ascii="Times New Roman" w:eastAsia="Times New Roman" w:hAnsi="Times New Roman"/>
          <w:bCs/>
          <w:color w:val="000000" w:themeColor="text1"/>
          <w:sz w:val="24"/>
          <w:szCs w:val="24"/>
          <w:lang w:eastAsia="uk-UA"/>
        </w:rPr>
        <w:t xml:space="preserve"> через певний час;</w:t>
      </w:r>
    </w:p>
    <w:p w14:paraId="7703D45B" w14:textId="77777777" w:rsidR="0059491B" w:rsidRPr="00E45422" w:rsidRDefault="0059491B" w:rsidP="00E45422">
      <w:pPr>
        <w:numPr>
          <w:ilvl w:val="0"/>
          <w:numId w:val="13"/>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надаються на безповоротній основі;</w:t>
      </w:r>
    </w:p>
    <w:p w14:paraId="68F69BF2" w14:textId="77777777" w:rsidR="0059491B" w:rsidRPr="00E45422" w:rsidRDefault="0059491B" w:rsidP="00E45422">
      <w:pPr>
        <w:numPr>
          <w:ilvl w:val="0"/>
          <w:numId w:val="13"/>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надаються для подальшого збільшення статутного капіталу, тобто ці  кошти збільшать статутний капітал, інвестиція: </w:t>
      </w:r>
      <w:proofErr w:type="spellStart"/>
      <w:r w:rsidRPr="00E45422">
        <w:rPr>
          <w:rFonts w:ascii="Times New Roman" w:eastAsia="Times New Roman" w:hAnsi="Times New Roman"/>
          <w:bCs/>
          <w:color w:val="000000" w:themeColor="text1"/>
          <w:sz w:val="24"/>
          <w:szCs w:val="24"/>
          <w:lang w:eastAsia="uk-UA"/>
        </w:rPr>
        <w:t>Дт</w:t>
      </w:r>
      <w:proofErr w:type="spellEnd"/>
      <w:r w:rsidRPr="00E45422">
        <w:rPr>
          <w:rFonts w:ascii="Times New Roman" w:eastAsia="Times New Roman" w:hAnsi="Times New Roman"/>
          <w:bCs/>
          <w:color w:val="000000" w:themeColor="text1"/>
          <w:sz w:val="24"/>
          <w:szCs w:val="24"/>
          <w:lang w:eastAsia="uk-UA"/>
        </w:rPr>
        <w:t xml:space="preserve"> 14 </w:t>
      </w:r>
      <w:proofErr w:type="spellStart"/>
      <w:r w:rsidRPr="00E45422">
        <w:rPr>
          <w:rFonts w:ascii="Times New Roman" w:eastAsia="Times New Roman" w:hAnsi="Times New Roman"/>
          <w:bCs/>
          <w:color w:val="000000" w:themeColor="text1"/>
          <w:sz w:val="24"/>
          <w:szCs w:val="24"/>
          <w:lang w:eastAsia="uk-UA"/>
        </w:rPr>
        <w:t>Кт</w:t>
      </w:r>
      <w:proofErr w:type="spellEnd"/>
      <w:r w:rsidRPr="00E45422">
        <w:rPr>
          <w:rFonts w:ascii="Times New Roman" w:eastAsia="Times New Roman" w:hAnsi="Times New Roman"/>
          <w:bCs/>
          <w:color w:val="000000" w:themeColor="text1"/>
          <w:sz w:val="24"/>
          <w:szCs w:val="24"/>
          <w:lang w:eastAsia="uk-UA"/>
        </w:rPr>
        <w:t xml:space="preserve"> 311.</w:t>
      </w:r>
    </w:p>
    <w:p w14:paraId="57C97A8A" w14:textId="7C3725D9"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Якщо ж додатковий вклад буде </w:t>
      </w:r>
      <w:proofErr w:type="spellStart"/>
      <w:r w:rsidRPr="00E45422">
        <w:rPr>
          <w:rFonts w:ascii="Times New Roman" w:eastAsia="Times New Roman" w:hAnsi="Times New Roman"/>
          <w:bCs/>
          <w:color w:val="000000" w:themeColor="text1"/>
          <w:sz w:val="24"/>
          <w:szCs w:val="24"/>
          <w:lang w:eastAsia="uk-UA"/>
        </w:rPr>
        <w:t>повернено</w:t>
      </w:r>
      <w:proofErr w:type="spellEnd"/>
      <w:r w:rsidRPr="00E45422">
        <w:rPr>
          <w:rFonts w:ascii="Times New Roman" w:eastAsia="Times New Roman" w:hAnsi="Times New Roman"/>
          <w:bCs/>
          <w:color w:val="000000" w:themeColor="text1"/>
          <w:sz w:val="24"/>
          <w:szCs w:val="24"/>
          <w:lang w:eastAsia="uk-UA"/>
        </w:rPr>
        <w:t>, тоді у підприємства-засновника інша дебіторська заборгованість:</w:t>
      </w:r>
    </w:p>
    <w:p w14:paraId="676EE1FD" w14:textId="77777777" w:rsidR="0059491B" w:rsidRPr="00E45422" w:rsidRDefault="0059491B" w:rsidP="00E45422">
      <w:pPr>
        <w:numPr>
          <w:ilvl w:val="0"/>
          <w:numId w:val="14"/>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довгострокова – субрахунок 183 «Інша дебіторська заборгованість»;</w:t>
      </w:r>
    </w:p>
    <w:p w14:paraId="23E0894B" w14:textId="77777777" w:rsidR="0059491B" w:rsidRPr="00E45422" w:rsidRDefault="0059491B" w:rsidP="00E45422">
      <w:pPr>
        <w:numPr>
          <w:ilvl w:val="0"/>
          <w:numId w:val="14"/>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короткострокова – субрахунок 377 «Розрахунки з іншими дебіторами».</w:t>
      </w:r>
    </w:p>
    <w:p w14:paraId="77FFC8AD" w14:textId="6267F497"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А якщо ж  визначено, що даний вклад поверненню не підлягає, то тут безоплатно надана фінансова допомога і, відповідно, у підприємства-надавача витрати: </w:t>
      </w:r>
      <w:proofErr w:type="spellStart"/>
      <w:r w:rsidRPr="00E45422">
        <w:rPr>
          <w:rFonts w:ascii="Times New Roman" w:eastAsia="Times New Roman" w:hAnsi="Times New Roman"/>
          <w:bCs/>
          <w:color w:val="000000" w:themeColor="text1"/>
          <w:sz w:val="24"/>
          <w:szCs w:val="24"/>
          <w:lang w:eastAsia="uk-UA"/>
        </w:rPr>
        <w:t>Дт</w:t>
      </w:r>
      <w:proofErr w:type="spellEnd"/>
      <w:r w:rsidRPr="00E45422">
        <w:rPr>
          <w:rFonts w:ascii="Times New Roman" w:eastAsia="Times New Roman" w:hAnsi="Times New Roman"/>
          <w:bCs/>
          <w:color w:val="000000" w:themeColor="text1"/>
          <w:sz w:val="24"/>
          <w:szCs w:val="24"/>
          <w:lang w:eastAsia="uk-UA"/>
        </w:rPr>
        <w:t xml:space="preserve"> 949 </w:t>
      </w:r>
      <w:proofErr w:type="spellStart"/>
      <w:r w:rsidRPr="00E45422">
        <w:rPr>
          <w:rFonts w:ascii="Times New Roman" w:eastAsia="Times New Roman" w:hAnsi="Times New Roman"/>
          <w:bCs/>
          <w:color w:val="000000" w:themeColor="text1"/>
          <w:sz w:val="24"/>
          <w:szCs w:val="24"/>
          <w:lang w:eastAsia="uk-UA"/>
        </w:rPr>
        <w:t>Кт</w:t>
      </w:r>
      <w:proofErr w:type="spellEnd"/>
      <w:r w:rsidRPr="00E45422">
        <w:rPr>
          <w:rFonts w:ascii="Times New Roman" w:eastAsia="Times New Roman" w:hAnsi="Times New Roman"/>
          <w:bCs/>
          <w:color w:val="000000" w:themeColor="text1"/>
          <w:sz w:val="24"/>
          <w:szCs w:val="24"/>
          <w:lang w:eastAsia="uk-UA"/>
        </w:rPr>
        <w:t xml:space="preserve"> 685, </w:t>
      </w:r>
      <w:proofErr w:type="spellStart"/>
      <w:r w:rsidRPr="00E45422">
        <w:rPr>
          <w:rFonts w:ascii="Times New Roman" w:eastAsia="Times New Roman" w:hAnsi="Times New Roman"/>
          <w:bCs/>
          <w:color w:val="000000" w:themeColor="text1"/>
          <w:sz w:val="24"/>
          <w:szCs w:val="24"/>
          <w:lang w:eastAsia="uk-UA"/>
        </w:rPr>
        <w:t>Дт</w:t>
      </w:r>
      <w:proofErr w:type="spellEnd"/>
      <w:r w:rsidRPr="00E45422">
        <w:rPr>
          <w:rFonts w:ascii="Times New Roman" w:eastAsia="Times New Roman" w:hAnsi="Times New Roman"/>
          <w:bCs/>
          <w:color w:val="000000" w:themeColor="text1"/>
          <w:sz w:val="24"/>
          <w:szCs w:val="24"/>
          <w:lang w:eastAsia="uk-UA"/>
        </w:rPr>
        <w:t xml:space="preserve"> 685 </w:t>
      </w:r>
      <w:proofErr w:type="spellStart"/>
      <w:r w:rsidRPr="00E45422">
        <w:rPr>
          <w:rFonts w:ascii="Times New Roman" w:eastAsia="Times New Roman" w:hAnsi="Times New Roman"/>
          <w:bCs/>
          <w:color w:val="000000" w:themeColor="text1"/>
          <w:sz w:val="24"/>
          <w:szCs w:val="24"/>
          <w:lang w:eastAsia="uk-UA"/>
        </w:rPr>
        <w:t>Кт</w:t>
      </w:r>
      <w:proofErr w:type="spellEnd"/>
      <w:r w:rsidRPr="00E45422">
        <w:rPr>
          <w:rFonts w:ascii="Times New Roman" w:eastAsia="Times New Roman" w:hAnsi="Times New Roman"/>
          <w:bCs/>
          <w:color w:val="000000" w:themeColor="text1"/>
          <w:sz w:val="24"/>
          <w:szCs w:val="24"/>
          <w:lang w:eastAsia="uk-UA"/>
        </w:rPr>
        <w:t xml:space="preserve"> 311.</w:t>
      </w:r>
    </w:p>
    <w:p w14:paraId="2AC28B29" w14:textId="470E58BF"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1. Наразі законодавчо врегулювано формування додаткового капіталу. Тепер ТОВ може створювати додатковий капітал без зміни статутного капіталу за умовами, визначеними у статуті або договорі.</w:t>
      </w:r>
    </w:p>
    <w:p w14:paraId="0461768B" w14:textId="6ADD6F57"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2. Облік внесків ТОВ-засновника до додаткового капіталу залежить від мети внеску:</w:t>
      </w:r>
    </w:p>
    <w:p w14:paraId="2A0D7363" w14:textId="77777777" w:rsidR="0059491B" w:rsidRPr="00E45422" w:rsidRDefault="0059491B" w:rsidP="00E45422">
      <w:pPr>
        <w:numPr>
          <w:ilvl w:val="0"/>
          <w:numId w:val="15"/>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інвестиція в статутний капітал – </w:t>
      </w:r>
      <w:proofErr w:type="spellStart"/>
      <w:r w:rsidRPr="00E45422">
        <w:rPr>
          <w:rFonts w:ascii="Times New Roman" w:eastAsia="Times New Roman" w:hAnsi="Times New Roman"/>
          <w:bCs/>
          <w:color w:val="000000" w:themeColor="text1"/>
          <w:sz w:val="24"/>
          <w:szCs w:val="24"/>
          <w:lang w:eastAsia="uk-UA"/>
        </w:rPr>
        <w:t>Дт</w:t>
      </w:r>
      <w:proofErr w:type="spellEnd"/>
      <w:r w:rsidRPr="00E45422">
        <w:rPr>
          <w:rFonts w:ascii="Times New Roman" w:eastAsia="Times New Roman" w:hAnsi="Times New Roman"/>
          <w:bCs/>
          <w:color w:val="000000" w:themeColor="text1"/>
          <w:sz w:val="24"/>
          <w:szCs w:val="24"/>
          <w:lang w:eastAsia="uk-UA"/>
        </w:rPr>
        <w:t xml:space="preserve"> 14 </w:t>
      </w:r>
      <w:proofErr w:type="spellStart"/>
      <w:r w:rsidRPr="00E45422">
        <w:rPr>
          <w:rFonts w:ascii="Times New Roman" w:eastAsia="Times New Roman" w:hAnsi="Times New Roman"/>
          <w:bCs/>
          <w:color w:val="000000" w:themeColor="text1"/>
          <w:sz w:val="24"/>
          <w:szCs w:val="24"/>
          <w:lang w:eastAsia="uk-UA"/>
        </w:rPr>
        <w:t>Кт</w:t>
      </w:r>
      <w:proofErr w:type="spellEnd"/>
      <w:r w:rsidRPr="00E45422">
        <w:rPr>
          <w:rFonts w:ascii="Times New Roman" w:eastAsia="Times New Roman" w:hAnsi="Times New Roman"/>
          <w:bCs/>
          <w:color w:val="000000" w:themeColor="text1"/>
          <w:sz w:val="24"/>
          <w:szCs w:val="24"/>
          <w:lang w:eastAsia="uk-UA"/>
        </w:rPr>
        <w:t xml:space="preserve"> 311/30;</w:t>
      </w:r>
    </w:p>
    <w:p w14:paraId="61105BFA" w14:textId="77777777" w:rsidR="0059491B" w:rsidRPr="00E45422" w:rsidRDefault="0059491B" w:rsidP="00E45422">
      <w:pPr>
        <w:numPr>
          <w:ilvl w:val="0"/>
          <w:numId w:val="15"/>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повернення передбачено – </w:t>
      </w:r>
      <w:proofErr w:type="spellStart"/>
      <w:r w:rsidRPr="00E45422">
        <w:rPr>
          <w:rFonts w:ascii="Times New Roman" w:eastAsia="Times New Roman" w:hAnsi="Times New Roman"/>
          <w:bCs/>
          <w:color w:val="000000" w:themeColor="text1"/>
          <w:sz w:val="24"/>
          <w:szCs w:val="24"/>
          <w:lang w:eastAsia="uk-UA"/>
        </w:rPr>
        <w:t>Дт</w:t>
      </w:r>
      <w:proofErr w:type="spellEnd"/>
      <w:r w:rsidRPr="00E45422">
        <w:rPr>
          <w:rFonts w:ascii="Times New Roman" w:eastAsia="Times New Roman" w:hAnsi="Times New Roman"/>
          <w:bCs/>
          <w:color w:val="000000" w:themeColor="text1"/>
          <w:sz w:val="24"/>
          <w:szCs w:val="24"/>
          <w:lang w:eastAsia="uk-UA"/>
        </w:rPr>
        <w:t xml:space="preserve"> 183 або 377 </w:t>
      </w:r>
      <w:proofErr w:type="spellStart"/>
      <w:r w:rsidRPr="00E45422">
        <w:rPr>
          <w:rFonts w:ascii="Times New Roman" w:eastAsia="Times New Roman" w:hAnsi="Times New Roman"/>
          <w:bCs/>
          <w:color w:val="000000" w:themeColor="text1"/>
          <w:sz w:val="24"/>
          <w:szCs w:val="24"/>
          <w:lang w:eastAsia="uk-UA"/>
        </w:rPr>
        <w:t>Кт</w:t>
      </w:r>
      <w:proofErr w:type="spellEnd"/>
      <w:r w:rsidRPr="00E45422">
        <w:rPr>
          <w:rFonts w:ascii="Times New Roman" w:eastAsia="Times New Roman" w:hAnsi="Times New Roman"/>
          <w:bCs/>
          <w:color w:val="000000" w:themeColor="text1"/>
          <w:sz w:val="24"/>
          <w:szCs w:val="24"/>
          <w:lang w:eastAsia="uk-UA"/>
        </w:rPr>
        <w:t xml:space="preserve"> 311;</w:t>
      </w:r>
    </w:p>
    <w:p w14:paraId="4BA57CCE" w14:textId="77777777" w:rsidR="0059491B" w:rsidRPr="00E45422" w:rsidRDefault="0059491B" w:rsidP="00E45422">
      <w:pPr>
        <w:numPr>
          <w:ilvl w:val="0"/>
          <w:numId w:val="15"/>
        </w:numPr>
        <w:shd w:val="clear" w:color="auto" w:fill="FFFFFF"/>
        <w:spacing w:after="0" w:line="240" w:lineRule="auto"/>
        <w:ind w:left="0"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 xml:space="preserve">безповоротна допомога – </w:t>
      </w:r>
      <w:proofErr w:type="spellStart"/>
      <w:r w:rsidRPr="00E45422">
        <w:rPr>
          <w:rFonts w:ascii="Times New Roman" w:eastAsia="Times New Roman" w:hAnsi="Times New Roman"/>
          <w:bCs/>
          <w:color w:val="000000" w:themeColor="text1"/>
          <w:sz w:val="24"/>
          <w:szCs w:val="24"/>
          <w:lang w:eastAsia="uk-UA"/>
        </w:rPr>
        <w:t>Дт</w:t>
      </w:r>
      <w:proofErr w:type="spellEnd"/>
      <w:r w:rsidRPr="00E45422">
        <w:rPr>
          <w:rFonts w:ascii="Times New Roman" w:eastAsia="Times New Roman" w:hAnsi="Times New Roman"/>
          <w:bCs/>
          <w:color w:val="000000" w:themeColor="text1"/>
          <w:sz w:val="24"/>
          <w:szCs w:val="24"/>
          <w:lang w:eastAsia="uk-UA"/>
        </w:rPr>
        <w:t xml:space="preserve"> 949 </w:t>
      </w:r>
      <w:proofErr w:type="spellStart"/>
      <w:r w:rsidRPr="00E45422">
        <w:rPr>
          <w:rFonts w:ascii="Times New Roman" w:eastAsia="Times New Roman" w:hAnsi="Times New Roman"/>
          <w:bCs/>
          <w:color w:val="000000" w:themeColor="text1"/>
          <w:sz w:val="24"/>
          <w:szCs w:val="24"/>
          <w:lang w:eastAsia="uk-UA"/>
        </w:rPr>
        <w:t>Кт</w:t>
      </w:r>
      <w:proofErr w:type="spellEnd"/>
      <w:r w:rsidRPr="00E45422">
        <w:rPr>
          <w:rFonts w:ascii="Times New Roman" w:eastAsia="Times New Roman" w:hAnsi="Times New Roman"/>
          <w:bCs/>
          <w:color w:val="000000" w:themeColor="text1"/>
          <w:sz w:val="24"/>
          <w:szCs w:val="24"/>
          <w:lang w:eastAsia="uk-UA"/>
        </w:rPr>
        <w:t xml:space="preserve"> 685.</w:t>
      </w:r>
    </w:p>
    <w:p w14:paraId="26B1D5C3" w14:textId="67E1182B" w:rsidR="0059491B" w:rsidRPr="00E45422" w:rsidRDefault="0059491B" w:rsidP="00E45422">
      <w:pPr>
        <w:shd w:val="clear" w:color="auto" w:fill="FFFFFF"/>
        <w:spacing w:after="0" w:line="240" w:lineRule="auto"/>
        <w:ind w:firstLine="567"/>
        <w:jc w:val="both"/>
        <w:rPr>
          <w:rFonts w:ascii="Times New Roman" w:eastAsia="Times New Roman" w:hAnsi="Times New Roman"/>
          <w:bCs/>
          <w:color w:val="000000" w:themeColor="text1"/>
          <w:sz w:val="24"/>
          <w:szCs w:val="24"/>
          <w:lang w:eastAsia="uk-UA"/>
        </w:rPr>
      </w:pPr>
      <w:r w:rsidRPr="00E45422">
        <w:rPr>
          <w:rFonts w:ascii="Times New Roman" w:eastAsia="Times New Roman" w:hAnsi="Times New Roman"/>
          <w:bCs/>
          <w:color w:val="000000" w:themeColor="text1"/>
          <w:sz w:val="24"/>
          <w:szCs w:val="24"/>
          <w:lang w:eastAsia="uk-UA"/>
        </w:rPr>
        <w:t>3. Порядок відображення буде залежати безпосередньо від документального оформлення таких додаткових вкладів.</w:t>
      </w:r>
    </w:p>
    <w:p w14:paraId="435C4C9B" w14:textId="77777777" w:rsidR="0059491B" w:rsidRPr="00E45422" w:rsidRDefault="0059491B" w:rsidP="00E45422">
      <w:pPr>
        <w:pStyle w:val="a5"/>
        <w:shd w:val="clear" w:color="auto" w:fill="FFFFFF"/>
        <w:spacing w:before="0" w:beforeAutospacing="0" w:after="0" w:afterAutospacing="0"/>
        <w:ind w:firstLine="567"/>
        <w:jc w:val="both"/>
        <w:rPr>
          <w:b/>
          <w:bCs/>
          <w:i/>
          <w:iCs/>
          <w:color w:val="000000" w:themeColor="text1"/>
        </w:rPr>
      </w:pPr>
    </w:p>
    <w:p w14:paraId="242B922F" w14:textId="77777777" w:rsidR="009F708F" w:rsidRPr="00E45422" w:rsidRDefault="009F708F" w:rsidP="00E45422">
      <w:pPr>
        <w:spacing w:after="0" w:line="240" w:lineRule="auto"/>
        <w:ind w:firstLine="567"/>
        <w:rPr>
          <w:rFonts w:ascii="Times New Roman" w:hAnsi="Times New Roman"/>
          <w:b/>
          <w:color w:val="000000" w:themeColor="text1"/>
          <w:sz w:val="24"/>
          <w:szCs w:val="24"/>
        </w:rPr>
      </w:pPr>
    </w:p>
    <w:p w14:paraId="3459C2CD" w14:textId="444DF55A" w:rsidR="009F708F" w:rsidRPr="00E45422" w:rsidRDefault="009F708F" w:rsidP="00E45422">
      <w:pPr>
        <w:spacing w:after="0" w:line="240" w:lineRule="auto"/>
        <w:ind w:firstLine="567"/>
        <w:jc w:val="center"/>
        <w:rPr>
          <w:rFonts w:ascii="Times New Roman" w:hAnsi="Times New Roman"/>
          <w:b/>
          <w:color w:val="000000" w:themeColor="text1"/>
          <w:sz w:val="24"/>
          <w:szCs w:val="24"/>
        </w:rPr>
      </w:pPr>
      <w:r w:rsidRPr="00E45422">
        <w:rPr>
          <w:rFonts w:ascii="Times New Roman" w:hAnsi="Times New Roman"/>
          <w:b/>
          <w:color w:val="000000" w:themeColor="text1"/>
          <w:sz w:val="24"/>
          <w:szCs w:val="24"/>
        </w:rPr>
        <w:t>ОПОДАТКУВАННЯ ТА ЗВІТНІСТЬ</w:t>
      </w:r>
    </w:p>
    <w:p w14:paraId="0553CB9A" w14:textId="7B2541CC" w:rsidR="00E45422" w:rsidRPr="00E45422" w:rsidRDefault="00E45422" w:rsidP="00E45422">
      <w:pPr>
        <w:pStyle w:val="a5"/>
        <w:shd w:val="clear" w:color="auto" w:fill="FFFFFF"/>
        <w:spacing w:before="0" w:beforeAutospacing="0" w:after="0" w:afterAutospacing="0"/>
        <w:ind w:firstLine="567"/>
        <w:jc w:val="center"/>
        <w:rPr>
          <w:b/>
          <w:color w:val="000000" w:themeColor="text1"/>
        </w:rPr>
      </w:pPr>
      <w:r w:rsidRPr="00E45422">
        <w:rPr>
          <w:b/>
          <w:color w:val="000000" w:themeColor="text1"/>
        </w:rPr>
        <w:t>П</w:t>
      </w:r>
      <w:r>
        <w:rPr>
          <w:b/>
          <w:color w:val="000000" w:themeColor="text1"/>
        </w:rPr>
        <w:t>одаток на прибуток</w:t>
      </w:r>
    </w:p>
    <w:p w14:paraId="7AB683F2" w14:textId="3073CCC0"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b/>
          <w:color w:val="000000" w:themeColor="text1"/>
          <w:sz w:val="24"/>
          <w:szCs w:val="24"/>
        </w:rPr>
        <w:t>1.Списання  погашеної контрагентом заборгованості, списання нарахованого резерву сумнівних боргів</w:t>
      </w:r>
      <w:r w:rsidRPr="00E45422">
        <w:rPr>
          <w:rFonts w:ascii="Times New Roman" w:hAnsi="Times New Roman"/>
          <w:color w:val="000000" w:themeColor="text1"/>
          <w:sz w:val="24"/>
          <w:szCs w:val="24"/>
        </w:rPr>
        <w:t xml:space="preserve">.    </w:t>
      </w:r>
    </w:p>
    <w:p w14:paraId="46F0D32D" w14:textId="6EEC5F0D"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Нарахування суми резерву сумнівних боргів  відображається у складі інших операційних витрат (</w:t>
      </w:r>
      <w:hyperlink r:id="rId9" w:anchor="pn49" w:tgtFrame="_blank" w:history="1">
        <w:r w:rsidRPr="00E45422">
          <w:rPr>
            <w:rStyle w:val="a3"/>
            <w:rFonts w:ascii="Times New Roman" w:hAnsi="Times New Roman"/>
            <w:color w:val="000000" w:themeColor="text1"/>
            <w:sz w:val="24"/>
            <w:szCs w:val="24"/>
            <w:u w:val="none"/>
          </w:rPr>
          <w:t>п.10 НП(С)БО 10</w:t>
        </w:r>
      </w:hyperlink>
      <w:r w:rsidRPr="00E45422">
        <w:rPr>
          <w:rFonts w:ascii="Times New Roman" w:hAnsi="Times New Roman"/>
          <w:color w:val="000000" w:themeColor="text1"/>
          <w:sz w:val="24"/>
          <w:szCs w:val="24"/>
        </w:rPr>
        <w:t xml:space="preserve">): </w:t>
      </w:r>
      <w:proofErr w:type="spellStart"/>
      <w:r w:rsidRPr="00E45422">
        <w:rPr>
          <w:rFonts w:ascii="Times New Roman" w:hAnsi="Times New Roman"/>
          <w:color w:val="000000" w:themeColor="text1"/>
          <w:sz w:val="24"/>
          <w:szCs w:val="24"/>
        </w:rPr>
        <w:t>Дт</w:t>
      </w:r>
      <w:proofErr w:type="spellEnd"/>
      <w:r w:rsidRPr="00E45422">
        <w:rPr>
          <w:rFonts w:ascii="Times New Roman" w:hAnsi="Times New Roman"/>
          <w:color w:val="000000" w:themeColor="text1"/>
          <w:sz w:val="24"/>
          <w:szCs w:val="24"/>
        </w:rPr>
        <w:t xml:space="preserve"> 944 </w:t>
      </w:r>
      <w:proofErr w:type="spellStart"/>
      <w:r w:rsidRPr="00E45422">
        <w:rPr>
          <w:rFonts w:ascii="Times New Roman" w:hAnsi="Times New Roman"/>
          <w:color w:val="000000" w:themeColor="text1"/>
          <w:sz w:val="24"/>
          <w:szCs w:val="24"/>
        </w:rPr>
        <w:t>Кт</w:t>
      </w:r>
      <w:proofErr w:type="spellEnd"/>
      <w:r w:rsidRPr="00E45422">
        <w:rPr>
          <w:rFonts w:ascii="Times New Roman" w:hAnsi="Times New Roman"/>
          <w:color w:val="000000" w:themeColor="text1"/>
          <w:sz w:val="24"/>
          <w:szCs w:val="24"/>
        </w:rPr>
        <w:t xml:space="preserve"> 38. Коригування РСБ може відбуватися у двох напрямках: збільшення або зменшення.</w:t>
      </w:r>
    </w:p>
    <w:p w14:paraId="1FE22D5B" w14:textId="7B788EC9"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1. Збільшення РСБ обліковується аналогічно, як і його створення: Це означає, що додаткові нарахування резерву визнаються як витрати.  </w:t>
      </w:r>
      <w:proofErr w:type="spellStart"/>
      <w:r w:rsidRPr="00E45422">
        <w:rPr>
          <w:rFonts w:ascii="Times New Roman" w:hAnsi="Times New Roman"/>
          <w:color w:val="000000" w:themeColor="text1"/>
          <w:sz w:val="24"/>
          <w:szCs w:val="24"/>
        </w:rPr>
        <w:t>Дт</w:t>
      </w:r>
      <w:proofErr w:type="spellEnd"/>
      <w:r w:rsidRPr="00E45422">
        <w:rPr>
          <w:rFonts w:ascii="Times New Roman" w:hAnsi="Times New Roman"/>
          <w:color w:val="000000" w:themeColor="text1"/>
          <w:sz w:val="24"/>
          <w:szCs w:val="24"/>
        </w:rPr>
        <w:t xml:space="preserve"> 944 </w:t>
      </w:r>
      <w:proofErr w:type="spellStart"/>
      <w:r w:rsidRPr="00E45422">
        <w:rPr>
          <w:rFonts w:ascii="Times New Roman" w:hAnsi="Times New Roman"/>
          <w:color w:val="000000" w:themeColor="text1"/>
          <w:sz w:val="24"/>
          <w:szCs w:val="24"/>
        </w:rPr>
        <w:t>Кт</w:t>
      </w:r>
      <w:proofErr w:type="spellEnd"/>
      <w:r w:rsidRPr="00E45422">
        <w:rPr>
          <w:rFonts w:ascii="Times New Roman" w:hAnsi="Times New Roman"/>
          <w:color w:val="000000" w:themeColor="text1"/>
          <w:sz w:val="24"/>
          <w:szCs w:val="24"/>
        </w:rPr>
        <w:t xml:space="preserve"> 38;</w:t>
      </w:r>
    </w:p>
    <w:p w14:paraId="42F2C4E4" w14:textId="3949ADDF"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2. Зменшення РСБ: Відповідно до Інструкції  №291 за дебетом рахунку 38 відбувається списання сумнівної заборгованості або зменшення нарахованих резервів у кореспонденції з рахунком обліку доходів: </w:t>
      </w:r>
      <w:proofErr w:type="spellStart"/>
      <w:r w:rsidRPr="00E45422">
        <w:rPr>
          <w:rFonts w:ascii="Times New Roman" w:hAnsi="Times New Roman"/>
          <w:color w:val="000000" w:themeColor="text1"/>
          <w:sz w:val="24"/>
          <w:szCs w:val="24"/>
        </w:rPr>
        <w:t>Дт</w:t>
      </w:r>
      <w:proofErr w:type="spellEnd"/>
      <w:r w:rsidRPr="00E45422">
        <w:rPr>
          <w:rFonts w:ascii="Times New Roman" w:hAnsi="Times New Roman"/>
          <w:color w:val="000000" w:themeColor="text1"/>
          <w:sz w:val="24"/>
          <w:szCs w:val="24"/>
        </w:rPr>
        <w:t xml:space="preserve"> 38 </w:t>
      </w:r>
      <w:proofErr w:type="spellStart"/>
      <w:r w:rsidRPr="00E45422">
        <w:rPr>
          <w:rFonts w:ascii="Times New Roman" w:hAnsi="Times New Roman"/>
          <w:color w:val="000000" w:themeColor="text1"/>
          <w:sz w:val="24"/>
          <w:szCs w:val="24"/>
        </w:rPr>
        <w:t>Кт</w:t>
      </w:r>
      <w:proofErr w:type="spellEnd"/>
      <w:r w:rsidRPr="00E45422">
        <w:rPr>
          <w:rFonts w:ascii="Times New Roman" w:hAnsi="Times New Roman"/>
          <w:color w:val="000000" w:themeColor="text1"/>
          <w:sz w:val="24"/>
          <w:szCs w:val="24"/>
        </w:rPr>
        <w:t xml:space="preserve"> 719. Тобто збільшення РСБ визнається як витрати, а зменшення – як доходи.</w:t>
      </w:r>
    </w:p>
    <w:p w14:paraId="76782795" w14:textId="1389A4C3"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Сплата заборгованості щодо якої раніше було нараховано резерв в обліку відображається: </w:t>
      </w:r>
      <w:proofErr w:type="spellStart"/>
      <w:r w:rsidRPr="00E45422">
        <w:rPr>
          <w:rFonts w:ascii="Times New Roman" w:hAnsi="Times New Roman"/>
          <w:color w:val="000000" w:themeColor="text1"/>
          <w:sz w:val="24"/>
          <w:szCs w:val="24"/>
        </w:rPr>
        <w:t>Дт</w:t>
      </w:r>
      <w:proofErr w:type="spellEnd"/>
      <w:r w:rsidRPr="00E45422">
        <w:rPr>
          <w:rFonts w:ascii="Times New Roman" w:hAnsi="Times New Roman"/>
          <w:color w:val="000000" w:themeColor="text1"/>
          <w:sz w:val="24"/>
          <w:szCs w:val="24"/>
        </w:rPr>
        <w:t xml:space="preserve"> 311 </w:t>
      </w:r>
      <w:proofErr w:type="spellStart"/>
      <w:r w:rsidRPr="00E45422">
        <w:rPr>
          <w:rFonts w:ascii="Times New Roman" w:hAnsi="Times New Roman"/>
          <w:color w:val="000000" w:themeColor="text1"/>
          <w:sz w:val="24"/>
          <w:szCs w:val="24"/>
        </w:rPr>
        <w:t>Кт</w:t>
      </w:r>
      <w:proofErr w:type="spellEnd"/>
      <w:r w:rsidRPr="00E45422">
        <w:rPr>
          <w:rFonts w:ascii="Times New Roman" w:hAnsi="Times New Roman"/>
          <w:color w:val="000000" w:themeColor="text1"/>
          <w:sz w:val="24"/>
          <w:szCs w:val="24"/>
        </w:rPr>
        <w:t xml:space="preserve"> 361. Якщо застосовуються  різниці, то фінансовий результат до оподаткування необхідно зменшити на суму коригування такого резерву (</w:t>
      </w:r>
      <w:proofErr w:type="spellStart"/>
      <w:r w:rsidRPr="00E45422">
        <w:rPr>
          <w:rFonts w:ascii="Times New Roman" w:hAnsi="Times New Roman"/>
          <w:color w:val="000000" w:themeColor="text1"/>
          <w:sz w:val="24"/>
          <w:szCs w:val="24"/>
        </w:rPr>
        <w:fldChar w:fldCharType="begin"/>
      </w:r>
      <w:r w:rsidRPr="00E45422">
        <w:rPr>
          <w:rFonts w:ascii="Times New Roman" w:hAnsi="Times New Roman"/>
          <w:color w:val="000000" w:themeColor="text1"/>
          <w:sz w:val="24"/>
          <w:szCs w:val="24"/>
        </w:rPr>
        <w:instrText xml:space="preserve"> HYPERLINK "https://docs.dtkt.ua/doc/1011.47.283?page=30" \l "pn4403" \t "_blank" </w:instrText>
      </w:r>
      <w:r w:rsidRPr="00E45422">
        <w:rPr>
          <w:rFonts w:ascii="Times New Roman" w:hAnsi="Times New Roman"/>
          <w:color w:val="000000" w:themeColor="text1"/>
          <w:sz w:val="24"/>
          <w:szCs w:val="24"/>
        </w:rPr>
        <w:fldChar w:fldCharType="separate"/>
      </w:r>
      <w:r w:rsidRPr="00E45422">
        <w:rPr>
          <w:rStyle w:val="a3"/>
          <w:rFonts w:ascii="Times New Roman" w:hAnsi="Times New Roman"/>
          <w:color w:val="000000" w:themeColor="text1"/>
          <w:sz w:val="24"/>
          <w:szCs w:val="24"/>
          <w:u w:val="none"/>
        </w:rPr>
        <w:t>пп</w:t>
      </w:r>
      <w:proofErr w:type="spellEnd"/>
      <w:r w:rsidRPr="00E45422">
        <w:rPr>
          <w:rStyle w:val="a3"/>
          <w:rFonts w:ascii="Times New Roman" w:hAnsi="Times New Roman"/>
          <w:color w:val="000000" w:themeColor="text1"/>
          <w:sz w:val="24"/>
          <w:szCs w:val="24"/>
          <w:u w:val="none"/>
        </w:rPr>
        <w:t>. 139.1.2 ПКУ</w:t>
      </w:r>
      <w:r w:rsidRPr="00E45422">
        <w:rPr>
          <w:rFonts w:ascii="Times New Roman" w:hAnsi="Times New Roman"/>
          <w:color w:val="000000" w:themeColor="text1"/>
          <w:sz w:val="24"/>
          <w:szCs w:val="24"/>
        </w:rPr>
        <w:fldChar w:fldCharType="end"/>
      </w:r>
      <w:r w:rsidRPr="00E45422">
        <w:rPr>
          <w:rFonts w:ascii="Times New Roman" w:hAnsi="Times New Roman"/>
          <w:color w:val="000000" w:themeColor="text1"/>
          <w:sz w:val="24"/>
          <w:szCs w:val="24"/>
        </w:rPr>
        <w:t>). Дане коригування нівелює вплив на об’єкт оподаткування податком на прибуток.</w:t>
      </w:r>
    </w:p>
    <w:p w14:paraId="03EDFB38" w14:textId="58B93271" w:rsidR="00E45422" w:rsidRPr="00E45422" w:rsidRDefault="00E45422" w:rsidP="00E45422">
      <w:pPr>
        <w:pStyle w:val="a4"/>
        <w:ind w:firstLine="567"/>
        <w:jc w:val="both"/>
        <w:rPr>
          <w:rStyle w:val="a6"/>
          <w:rFonts w:ascii="Times New Roman" w:hAnsi="Times New Roman"/>
          <w:color w:val="000000" w:themeColor="text1"/>
          <w:sz w:val="24"/>
          <w:szCs w:val="24"/>
        </w:rPr>
      </w:pPr>
      <w:r w:rsidRPr="00E45422">
        <w:rPr>
          <w:rFonts w:ascii="Times New Roman" w:hAnsi="Times New Roman"/>
          <w:color w:val="000000" w:themeColor="text1"/>
          <w:sz w:val="24"/>
          <w:szCs w:val="24"/>
        </w:rPr>
        <w:lastRenderedPageBreak/>
        <w:t>Прямих обмежень щодо тривалості існування резерву сумнівних боргів (РСБ) законодавство не встановлює. Резерв існує, доки заборгованість класифікується як сумнівна, а не безнадійна. Підписання акту звірки перериває строк позовної давності, але не скасовує сумнівності боргу, тому резерв продовжує обліковуватися і підлягає перегляду на кожну дату балансу.</w:t>
      </w:r>
    </w:p>
    <w:p w14:paraId="1F7742D4" w14:textId="19A52EC3"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 xml:space="preserve"> Статус заборгованості після підписання </w:t>
      </w:r>
      <w:proofErr w:type="spellStart"/>
      <w:r w:rsidRPr="00E45422">
        <w:rPr>
          <w:rStyle w:val="a6"/>
          <w:rFonts w:ascii="Times New Roman" w:hAnsi="Times New Roman"/>
          <w:color w:val="000000" w:themeColor="text1"/>
          <w:sz w:val="24"/>
          <w:szCs w:val="24"/>
        </w:rPr>
        <w:t>акта</w:t>
      </w:r>
      <w:proofErr w:type="spellEnd"/>
      <w:r w:rsidRPr="00E45422">
        <w:rPr>
          <w:rStyle w:val="a6"/>
          <w:rFonts w:ascii="Times New Roman" w:hAnsi="Times New Roman"/>
          <w:color w:val="000000" w:themeColor="text1"/>
          <w:sz w:val="24"/>
          <w:szCs w:val="24"/>
        </w:rPr>
        <w:t xml:space="preserve"> звірки</w:t>
      </w:r>
      <w:r>
        <w:rPr>
          <w:rStyle w:val="a6"/>
          <w:rFonts w:ascii="Times New Roman" w:hAnsi="Times New Roman"/>
          <w:color w:val="000000" w:themeColor="text1"/>
          <w:sz w:val="24"/>
          <w:szCs w:val="24"/>
        </w:rPr>
        <w:t xml:space="preserve">: </w:t>
      </w:r>
      <w:r w:rsidRPr="00E45422">
        <w:rPr>
          <w:rFonts w:ascii="Times New Roman" w:hAnsi="Times New Roman"/>
          <w:color w:val="000000" w:themeColor="text1"/>
          <w:sz w:val="24"/>
          <w:szCs w:val="24"/>
        </w:rPr>
        <w:t xml:space="preserve">Підписання </w:t>
      </w:r>
      <w:r w:rsidRPr="001B370A">
        <w:rPr>
          <w:rFonts w:ascii="Times New Roman" w:hAnsi="Times New Roman"/>
          <w:i/>
          <w:iCs/>
          <w:color w:val="000000" w:themeColor="text1"/>
          <w:sz w:val="24"/>
          <w:szCs w:val="24"/>
        </w:rPr>
        <w:t>акту звірки є дією, що свідчить про визнання боргу. Це перериває перебіг позовної давності,</w:t>
      </w:r>
      <w:r w:rsidRPr="00E45422">
        <w:rPr>
          <w:rFonts w:ascii="Times New Roman" w:hAnsi="Times New Roman"/>
          <w:color w:val="000000" w:themeColor="text1"/>
          <w:sz w:val="24"/>
          <w:szCs w:val="24"/>
        </w:rPr>
        <w:t xml:space="preserve"> і її відлік починається заново. Такий висновок підтверджується </w:t>
      </w:r>
      <w:hyperlink r:id="rId10" w:anchor="st264" w:tgtFrame="_blank" w:history="1">
        <w:r w:rsidRPr="00E45422">
          <w:rPr>
            <w:rStyle w:val="a3"/>
            <w:rFonts w:ascii="Times New Roman" w:hAnsi="Times New Roman"/>
            <w:color w:val="000000" w:themeColor="text1"/>
            <w:sz w:val="24"/>
            <w:szCs w:val="24"/>
            <w:u w:val="none"/>
          </w:rPr>
          <w:t>ч. 1 ст. 264 ЦКУ.</w:t>
        </w:r>
      </w:hyperlink>
    </w:p>
    <w:p w14:paraId="3D4B72F1" w14:textId="2BC34AA2"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Резерв сумнівних боргів: мета та умови існування</w:t>
      </w:r>
    </w:p>
    <w:p w14:paraId="7DCA5EA6" w14:textId="77777777" w:rsidR="00E45422" w:rsidRPr="00E45422" w:rsidRDefault="00E45422" w:rsidP="00E45422">
      <w:pPr>
        <w:spacing w:after="0" w:line="240" w:lineRule="auto"/>
        <w:ind w:firstLine="567"/>
        <w:rPr>
          <w:rFonts w:ascii="Times New Roman" w:hAnsi="Times New Roman"/>
          <w:b/>
          <w:color w:val="000000" w:themeColor="text1"/>
          <w:sz w:val="24"/>
          <w:szCs w:val="24"/>
        </w:rPr>
      </w:pPr>
    </w:p>
    <w:p w14:paraId="77326E92" w14:textId="77777777" w:rsidR="00E45422" w:rsidRPr="00E45422" w:rsidRDefault="00E45422" w:rsidP="00E45422">
      <w:pPr>
        <w:pStyle w:val="a4"/>
        <w:ind w:firstLine="567"/>
        <w:jc w:val="both"/>
        <w:rPr>
          <w:rFonts w:ascii="Times New Roman" w:hAnsi="Times New Roman"/>
          <w:b/>
          <w:color w:val="000000" w:themeColor="text1"/>
          <w:sz w:val="24"/>
          <w:szCs w:val="24"/>
          <w:lang w:eastAsia="uk-UA"/>
        </w:rPr>
      </w:pPr>
      <w:r w:rsidRPr="00E45422">
        <w:rPr>
          <w:rFonts w:ascii="Times New Roman" w:hAnsi="Times New Roman"/>
          <w:b/>
          <w:color w:val="000000" w:themeColor="text1"/>
          <w:sz w:val="24"/>
          <w:szCs w:val="24"/>
          <w:lang w:eastAsia="uk-UA"/>
        </w:rPr>
        <w:t>ПОДАТОК НА ДОДАНУ ВАРТІСТЬ ( зміни до реєстрації ПН, бюджетне відшкодування)</w:t>
      </w:r>
    </w:p>
    <w:p w14:paraId="64C8BC6A" w14:textId="0707BAF8" w:rsid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 xml:space="preserve">        </w:t>
      </w:r>
    </w:p>
    <w:p w14:paraId="608B3B91" w14:textId="77777777" w:rsidR="00715207" w:rsidRPr="00E45422" w:rsidRDefault="00715207" w:rsidP="00715207">
      <w:pPr>
        <w:spacing w:after="0" w:line="240" w:lineRule="auto"/>
        <w:ind w:firstLine="567"/>
        <w:jc w:val="center"/>
        <w:textAlignment w:val="baseline"/>
        <w:outlineLvl w:val="0"/>
        <w:rPr>
          <w:rFonts w:ascii="Times New Roman" w:eastAsia="Times New Roman" w:hAnsi="Times New Roman"/>
          <w:b/>
          <w:color w:val="000000" w:themeColor="text1"/>
          <w:sz w:val="24"/>
          <w:szCs w:val="24"/>
          <w:lang w:eastAsia="ru-RU"/>
        </w:rPr>
      </w:pPr>
      <w:r w:rsidRPr="00E45422">
        <w:rPr>
          <w:rFonts w:ascii="Times New Roman" w:hAnsi="Times New Roman"/>
          <w:b/>
          <w:bCs/>
          <w:color w:val="000000" w:themeColor="text1"/>
          <w:sz w:val="24"/>
          <w:szCs w:val="24"/>
        </w:rPr>
        <w:t>Із 27 вересня змінюються правила реєстрації податкових накладних — ДПС</w:t>
      </w:r>
    </w:p>
    <w:p w14:paraId="587908FC" w14:textId="77777777" w:rsidR="00715207" w:rsidRPr="00E45422" w:rsidRDefault="00715207" w:rsidP="00715207">
      <w:pPr>
        <w:pStyle w:val="a5"/>
        <w:shd w:val="clear" w:color="auto" w:fill="FFFFFF"/>
        <w:spacing w:before="0" w:beforeAutospacing="0" w:after="0" w:afterAutospacing="0"/>
        <w:ind w:firstLine="567"/>
        <w:jc w:val="both"/>
        <w:rPr>
          <w:color w:val="000000" w:themeColor="text1"/>
        </w:rPr>
      </w:pPr>
      <w:r w:rsidRPr="00E45422">
        <w:rPr>
          <w:color w:val="000000" w:themeColor="text1"/>
        </w:rPr>
        <w:t>З 27 вересня 2025 року набувають чинності зміни до Порядку зупинення реєстрації податкових накладних та розрахунків коригування в ЄРПН, затверджені постановою Уряду від 26 серпня 2025 року № 1048.</w:t>
      </w:r>
    </w:p>
    <w:p w14:paraId="365A872F" w14:textId="77777777" w:rsidR="00715207" w:rsidRPr="00E45422" w:rsidRDefault="00715207" w:rsidP="00715207">
      <w:pPr>
        <w:pStyle w:val="a5"/>
        <w:shd w:val="clear" w:color="auto" w:fill="FFFFFF"/>
        <w:spacing w:before="0" w:beforeAutospacing="0" w:after="0" w:afterAutospacing="0"/>
        <w:ind w:firstLine="567"/>
        <w:jc w:val="both"/>
        <w:rPr>
          <w:color w:val="000000" w:themeColor="text1"/>
        </w:rPr>
      </w:pPr>
      <w:r w:rsidRPr="00E45422">
        <w:rPr>
          <w:color w:val="000000" w:themeColor="text1"/>
        </w:rPr>
        <w:t>Основні зміни:</w:t>
      </w:r>
    </w:p>
    <w:p w14:paraId="4A00F588" w14:textId="77777777" w:rsidR="00715207" w:rsidRPr="00E45422" w:rsidRDefault="00715207" w:rsidP="00715207">
      <w:pPr>
        <w:pStyle w:val="a5"/>
        <w:numPr>
          <w:ilvl w:val="0"/>
          <w:numId w:val="12"/>
        </w:numPr>
        <w:shd w:val="clear" w:color="auto" w:fill="FFFFFF"/>
        <w:spacing w:before="0" w:beforeAutospacing="0" w:after="0" w:afterAutospacing="0"/>
        <w:ind w:left="0" w:firstLine="567"/>
        <w:jc w:val="both"/>
        <w:rPr>
          <w:color w:val="000000" w:themeColor="text1"/>
        </w:rPr>
      </w:pPr>
      <w:r w:rsidRPr="00E45422">
        <w:rPr>
          <w:color w:val="000000" w:themeColor="text1"/>
        </w:rPr>
        <w:t>збільшено ліміти для безумовної реєстрації податкових накладних;</w:t>
      </w:r>
    </w:p>
    <w:p w14:paraId="21D84BFB" w14:textId="77777777" w:rsidR="00715207" w:rsidRPr="00E45422" w:rsidRDefault="00715207" w:rsidP="00715207">
      <w:pPr>
        <w:pStyle w:val="a5"/>
        <w:numPr>
          <w:ilvl w:val="0"/>
          <w:numId w:val="12"/>
        </w:numPr>
        <w:shd w:val="clear" w:color="auto" w:fill="FFFFFF"/>
        <w:spacing w:before="0" w:beforeAutospacing="0" w:after="0" w:afterAutospacing="0"/>
        <w:ind w:left="0" w:firstLine="567"/>
        <w:jc w:val="both"/>
        <w:rPr>
          <w:color w:val="000000" w:themeColor="text1"/>
        </w:rPr>
      </w:pPr>
      <w:r w:rsidRPr="00E45422">
        <w:rPr>
          <w:color w:val="000000" w:themeColor="text1"/>
        </w:rPr>
        <w:t>підвищуються пороги для операцій з невеликими сумами;</w:t>
      </w:r>
    </w:p>
    <w:p w14:paraId="01E7B367" w14:textId="77777777" w:rsidR="00715207" w:rsidRPr="00E45422" w:rsidRDefault="00715207" w:rsidP="00715207">
      <w:pPr>
        <w:pStyle w:val="a5"/>
        <w:numPr>
          <w:ilvl w:val="0"/>
          <w:numId w:val="12"/>
        </w:numPr>
        <w:shd w:val="clear" w:color="auto" w:fill="FFFFFF"/>
        <w:spacing w:before="0" w:beforeAutospacing="0" w:after="0" w:afterAutospacing="0"/>
        <w:ind w:left="0" w:firstLine="567"/>
        <w:jc w:val="both"/>
        <w:rPr>
          <w:color w:val="000000" w:themeColor="text1"/>
        </w:rPr>
      </w:pPr>
      <w:r w:rsidRPr="00715207">
        <w:rPr>
          <w:i/>
          <w:iCs/>
          <w:color w:val="000000" w:themeColor="text1"/>
        </w:rPr>
        <w:t>спрощено ознаки безумовної реєстрації податкових накладних</w:t>
      </w:r>
      <w:r w:rsidRPr="00E45422">
        <w:rPr>
          <w:color w:val="000000" w:themeColor="text1"/>
        </w:rPr>
        <w:t xml:space="preserve"> за експортними операціями для підприємств, які працюють на територіях із загрозою боїв, але де активних боїв наразі немає;</w:t>
      </w:r>
    </w:p>
    <w:p w14:paraId="30DA3A61" w14:textId="77777777" w:rsidR="00715207" w:rsidRPr="00E45422" w:rsidRDefault="00715207" w:rsidP="00715207">
      <w:pPr>
        <w:pStyle w:val="a5"/>
        <w:numPr>
          <w:ilvl w:val="1"/>
          <w:numId w:val="12"/>
        </w:numPr>
        <w:shd w:val="clear" w:color="auto" w:fill="FFFFFF"/>
        <w:spacing w:before="0" w:beforeAutospacing="0" w:after="0" w:afterAutospacing="0"/>
        <w:ind w:left="0" w:firstLine="567"/>
        <w:jc w:val="both"/>
        <w:rPr>
          <w:color w:val="000000" w:themeColor="text1"/>
        </w:rPr>
      </w:pPr>
      <w:r w:rsidRPr="00E45422">
        <w:rPr>
          <w:color w:val="000000" w:themeColor="text1"/>
        </w:rPr>
        <w:t>удосконалено автоматичну реєстрацію - при автоматичній реєстрації податкових накладних / розрахунків коригування у разі: виключення з переліку ризикових для платника податку будуть враховуватися показники позитивної податкової історії; у разі врахування таблиці даних платника така реєстрація буде здійснюватися у тому числі і в результаті автоматичного врахування таблиці даних платника.</w:t>
      </w:r>
    </w:p>
    <w:p w14:paraId="3EFE6B6A" w14:textId="77777777" w:rsidR="00715207" w:rsidRPr="00E45422" w:rsidRDefault="00715207" w:rsidP="00715207">
      <w:pPr>
        <w:pStyle w:val="a5"/>
        <w:numPr>
          <w:ilvl w:val="0"/>
          <w:numId w:val="12"/>
        </w:numPr>
        <w:shd w:val="clear" w:color="auto" w:fill="FFFFFF"/>
        <w:spacing w:before="0" w:beforeAutospacing="0" w:after="0" w:afterAutospacing="0"/>
        <w:ind w:left="0" w:firstLine="567"/>
        <w:jc w:val="both"/>
        <w:rPr>
          <w:color w:val="000000" w:themeColor="text1"/>
        </w:rPr>
      </w:pPr>
      <w:r w:rsidRPr="00E45422">
        <w:rPr>
          <w:color w:val="000000" w:themeColor="text1"/>
        </w:rPr>
        <w:t>удосконалено механізм автоматичного врахування таблиць даних платника податку.</w:t>
      </w:r>
    </w:p>
    <w:p w14:paraId="416B99A0" w14:textId="77777777" w:rsidR="00715207" w:rsidRPr="00E45422" w:rsidRDefault="00715207" w:rsidP="00715207">
      <w:pPr>
        <w:pStyle w:val="a5"/>
        <w:numPr>
          <w:ilvl w:val="0"/>
          <w:numId w:val="12"/>
        </w:numPr>
        <w:shd w:val="clear" w:color="auto" w:fill="FFFFFF"/>
        <w:spacing w:before="0" w:beforeAutospacing="0" w:after="0" w:afterAutospacing="0"/>
        <w:ind w:left="0" w:firstLine="567"/>
        <w:jc w:val="both"/>
        <w:rPr>
          <w:color w:val="000000" w:themeColor="text1"/>
        </w:rPr>
      </w:pPr>
      <w:r w:rsidRPr="00E45422">
        <w:rPr>
          <w:color w:val="000000" w:themeColor="text1"/>
        </w:rPr>
        <w:t>змінено окремі показники позитивної податкової історії;</w:t>
      </w:r>
    </w:p>
    <w:p w14:paraId="57F159FA" w14:textId="77777777" w:rsidR="00715207" w:rsidRPr="00E45422" w:rsidRDefault="00715207" w:rsidP="00715207">
      <w:pPr>
        <w:pStyle w:val="a5"/>
        <w:numPr>
          <w:ilvl w:val="0"/>
          <w:numId w:val="12"/>
        </w:numPr>
        <w:shd w:val="clear" w:color="auto" w:fill="FFFFFF"/>
        <w:spacing w:before="0" w:beforeAutospacing="0" w:after="0" w:afterAutospacing="0"/>
        <w:ind w:left="0" w:firstLine="567"/>
        <w:jc w:val="both"/>
        <w:rPr>
          <w:color w:val="000000" w:themeColor="text1"/>
        </w:rPr>
      </w:pPr>
      <w:r w:rsidRPr="00E45422">
        <w:rPr>
          <w:color w:val="000000" w:themeColor="text1"/>
        </w:rPr>
        <w:t>змінено критерій ризиковості операцій щодо подання розрахунків коригування податкових зобов'язань при поверненні товару від неплатника ПДВ з 30 до 90 днів.</w:t>
      </w:r>
    </w:p>
    <w:p w14:paraId="6115B744" w14:textId="77777777" w:rsidR="00715207" w:rsidRPr="00E45422" w:rsidRDefault="00715207" w:rsidP="00715207">
      <w:pPr>
        <w:pStyle w:val="a5"/>
        <w:shd w:val="clear" w:color="auto" w:fill="FFFFFF"/>
        <w:spacing w:before="0" w:beforeAutospacing="0" w:after="0" w:afterAutospacing="0"/>
        <w:ind w:firstLine="567"/>
        <w:jc w:val="both"/>
        <w:rPr>
          <w:b/>
          <w:bCs/>
          <w:color w:val="000000" w:themeColor="text1"/>
          <w:spacing w:val="16"/>
        </w:rPr>
      </w:pPr>
      <w:r w:rsidRPr="00E45422">
        <w:rPr>
          <w:color w:val="000000" w:themeColor="text1"/>
        </w:rPr>
        <w:t xml:space="preserve">У </w:t>
      </w:r>
      <w:proofErr w:type="spellStart"/>
      <w:r w:rsidRPr="00E45422">
        <w:rPr>
          <w:color w:val="000000" w:themeColor="text1"/>
        </w:rPr>
        <w:t>Пресслужбі</w:t>
      </w:r>
      <w:proofErr w:type="spellEnd"/>
      <w:r w:rsidRPr="00E45422">
        <w:rPr>
          <w:color w:val="000000" w:themeColor="text1"/>
        </w:rPr>
        <w:t xml:space="preserve"> ДПСУ зауважили, що запроваджено також додаткові запобіжники проти маніпуляцій із фінансовою звітністю щодо залишкової вартості основних засобів.</w:t>
      </w:r>
    </w:p>
    <w:p w14:paraId="4E9C62E8" w14:textId="77777777" w:rsidR="00715207" w:rsidRPr="00E45422" w:rsidRDefault="00715207" w:rsidP="00E45422">
      <w:pPr>
        <w:pStyle w:val="a4"/>
        <w:ind w:firstLine="567"/>
        <w:jc w:val="both"/>
        <w:rPr>
          <w:rFonts w:ascii="Times New Roman" w:hAnsi="Times New Roman"/>
          <w:color w:val="000000" w:themeColor="text1"/>
          <w:sz w:val="24"/>
          <w:szCs w:val="24"/>
          <w:lang w:eastAsia="uk-UA"/>
        </w:rPr>
      </w:pPr>
    </w:p>
    <w:p w14:paraId="03F12593" w14:textId="09CFAA8B" w:rsidR="00E45422" w:rsidRPr="00E45422" w:rsidRDefault="00E45422" w:rsidP="00E45422">
      <w:pPr>
        <w:pStyle w:val="a4"/>
        <w:ind w:firstLine="567"/>
        <w:jc w:val="both"/>
        <w:rPr>
          <w:rFonts w:ascii="Times New Roman" w:hAnsi="Times New Roman"/>
          <w:b/>
          <w:color w:val="000000" w:themeColor="text1"/>
          <w:sz w:val="24"/>
          <w:szCs w:val="24"/>
          <w:lang w:eastAsia="uk-UA"/>
        </w:rPr>
      </w:pPr>
      <w:r w:rsidRPr="00E45422">
        <w:rPr>
          <w:rFonts w:ascii="Times New Roman" w:hAnsi="Times New Roman"/>
          <w:b/>
          <w:bCs/>
          <w:color w:val="000000" w:themeColor="text1"/>
          <w:sz w:val="24"/>
          <w:szCs w:val="24"/>
          <w:lang w:eastAsia="uk-UA"/>
        </w:rPr>
        <w:t>Ознаки безумовної реєстрації «звичайних» ПН / РК</w:t>
      </w:r>
    </w:p>
    <w:p w14:paraId="553B1D91" w14:textId="2583416C"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Ознак безумовної реєстрації податкових </w:t>
      </w:r>
      <w:hyperlink r:id="rId11" w:tgtFrame="_blank" w:history="1">
        <w:r w:rsidRPr="00E45422">
          <w:rPr>
            <w:rStyle w:val="a3"/>
            <w:rFonts w:ascii="Times New Roman" w:hAnsi="Times New Roman"/>
            <w:color w:val="000000" w:themeColor="text1"/>
            <w:sz w:val="24"/>
            <w:szCs w:val="24"/>
            <w:u w:val="none"/>
            <w:lang w:eastAsia="uk-UA"/>
          </w:rPr>
          <w:t>ПН</w:t>
        </w:r>
      </w:hyperlink>
      <w:r w:rsidRPr="00E45422">
        <w:rPr>
          <w:rFonts w:ascii="Times New Roman" w:hAnsi="Times New Roman"/>
          <w:color w:val="000000" w:themeColor="text1"/>
          <w:sz w:val="24"/>
          <w:szCs w:val="24"/>
          <w:lang w:eastAsia="uk-UA"/>
        </w:rPr>
        <w:t> / </w:t>
      </w:r>
      <w:hyperlink r:id="rId12" w:tgtFrame="_blank" w:history="1">
        <w:r w:rsidRPr="00E45422">
          <w:rPr>
            <w:rStyle w:val="a3"/>
            <w:rFonts w:ascii="Times New Roman" w:hAnsi="Times New Roman"/>
            <w:color w:val="000000" w:themeColor="text1"/>
            <w:sz w:val="24"/>
            <w:szCs w:val="24"/>
            <w:u w:val="none"/>
            <w:lang w:eastAsia="uk-UA"/>
          </w:rPr>
          <w:t>РК</w:t>
        </w:r>
      </w:hyperlink>
      <w:r w:rsidRPr="00E45422">
        <w:rPr>
          <w:rFonts w:ascii="Times New Roman" w:hAnsi="Times New Roman"/>
          <w:color w:val="000000" w:themeColor="text1"/>
          <w:sz w:val="24"/>
          <w:szCs w:val="24"/>
          <w:lang w:eastAsia="uk-UA"/>
        </w:rPr>
        <w:t xml:space="preserve">  є  7.  Зміни досить суттєві внесені до  -  2-ї, 3-ї, 6-ї та 7-ї, а саме: </w:t>
      </w:r>
    </w:p>
    <w:p w14:paraId="57EA211C" w14:textId="5556D838"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 xml:space="preserve">1.Одночасно виконуються такі умови: обсяг постачання за місяць менше ніж 1 </w:t>
      </w:r>
      <w:proofErr w:type="spellStart"/>
      <w:r w:rsidRPr="00E45422">
        <w:rPr>
          <w:rFonts w:ascii="Times New Roman" w:hAnsi="Times New Roman"/>
          <w:color w:val="000000" w:themeColor="text1"/>
          <w:sz w:val="24"/>
          <w:szCs w:val="24"/>
          <w:lang w:eastAsia="uk-UA"/>
        </w:rPr>
        <w:t>млн.грн</w:t>
      </w:r>
      <w:proofErr w:type="spellEnd"/>
      <w:r w:rsidRPr="00E45422">
        <w:rPr>
          <w:rFonts w:ascii="Times New Roman" w:hAnsi="Times New Roman"/>
          <w:color w:val="000000" w:themeColor="text1"/>
          <w:sz w:val="24"/>
          <w:szCs w:val="24"/>
          <w:lang w:eastAsia="uk-UA"/>
        </w:rPr>
        <w:t xml:space="preserve">. обсяг постачання з одним покупцем-платником ПДВ не перевищує 100 </w:t>
      </w:r>
      <w:proofErr w:type="spellStart"/>
      <w:r w:rsidRPr="00E45422">
        <w:rPr>
          <w:rFonts w:ascii="Times New Roman" w:hAnsi="Times New Roman"/>
          <w:color w:val="000000" w:themeColor="text1"/>
          <w:sz w:val="24"/>
          <w:szCs w:val="24"/>
          <w:lang w:eastAsia="uk-UA"/>
        </w:rPr>
        <w:t>тис.грн</w:t>
      </w:r>
      <w:proofErr w:type="spellEnd"/>
      <w:r w:rsidRPr="00E45422">
        <w:rPr>
          <w:rFonts w:ascii="Times New Roman" w:hAnsi="Times New Roman"/>
          <w:color w:val="000000" w:themeColor="text1"/>
          <w:sz w:val="24"/>
          <w:szCs w:val="24"/>
          <w:lang w:eastAsia="uk-UA"/>
        </w:rPr>
        <w:t xml:space="preserve">.,  сума ПДВ сплачена та задекларована за місяць більша, ніж 40 </w:t>
      </w:r>
      <w:proofErr w:type="spellStart"/>
      <w:r w:rsidRPr="00E45422">
        <w:rPr>
          <w:rFonts w:ascii="Times New Roman" w:hAnsi="Times New Roman"/>
          <w:color w:val="000000" w:themeColor="text1"/>
          <w:sz w:val="24"/>
          <w:szCs w:val="24"/>
          <w:lang w:eastAsia="uk-UA"/>
        </w:rPr>
        <w:t>тис.грн</w:t>
      </w:r>
      <w:proofErr w:type="spellEnd"/>
      <w:r w:rsidRPr="00E45422">
        <w:rPr>
          <w:rFonts w:ascii="Times New Roman" w:hAnsi="Times New Roman"/>
          <w:color w:val="000000" w:themeColor="text1"/>
          <w:sz w:val="24"/>
          <w:szCs w:val="24"/>
          <w:lang w:eastAsia="uk-UA"/>
        </w:rPr>
        <w:t>., керівник є аналогічним керівником не більш ніж у 5 платників податків.</w:t>
      </w:r>
    </w:p>
    <w:p w14:paraId="64562804" w14:textId="77777777" w:rsidR="001B370A" w:rsidRDefault="001B370A" w:rsidP="00E45422">
      <w:pPr>
        <w:pStyle w:val="a4"/>
        <w:ind w:firstLine="567"/>
        <w:jc w:val="both"/>
        <w:rPr>
          <w:rFonts w:ascii="Times New Roman" w:hAnsi="Times New Roman"/>
          <w:color w:val="000000" w:themeColor="text1"/>
          <w:sz w:val="24"/>
          <w:szCs w:val="24"/>
          <w:lang w:eastAsia="uk-UA"/>
        </w:rPr>
      </w:pPr>
    </w:p>
    <w:p w14:paraId="124FC7BE" w14:textId="7F831F56" w:rsidR="00E45422" w:rsidRPr="00E45422" w:rsidRDefault="00E45422" w:rsidP="00E45422">
      <w:pPr>
        <w:pStyle w:val="a4"/>
        <w:ind w:firstLine="567"/>
        <w:jc w:val="both"/>
        <w:rPr>
          <w:rFonts w:ascii="Times New Roman" w:hAnsi="Times New Roman"/>
          <w:b/>
          <w:color w:val="000000" w:themeColor="text1"/>
          <w:sz w:val="24"/>
          <w:szCs w:val="24"/>
          <w:lang w:eastAsia="uk-UA"/>
        </w:rPr>
      </w:pPr>
      <w:r w:rsidRPr="00E45422">
        <w:rPr>
          <w:rFonts w:ascii="Times New Roman" w:hAnsi="Times New Roman"/>
          <w:color w:val="000000" w:themeColor="text1"/>
          <w:sz w:val="24"/>
          <w:szCs w:val="24"/>
          <w:lang w:eastAsia="uk-UA"/>
        </w:rPr>
        <w:t xml:space="preserve">        </w:t>
      </w:r>
      <w:r w:rsidRPr="00E45422">
        <w:rPr>
          <w:rFonts w:ascii="Times New Roman" w:hAnsi="Times New Roman"/>
          <w:b/>
          <w:bCs/>
          <w:color w:val="000000" w:themeColor="text1"/>
          <w:sz w:val="24"/>
          <w:szCs w:val="24"/>
          <w:lang w:eastAsia="uk-UA"/>
        </w:rPr>
        <w:t>Показники позитивної податкової історії</w:t>
      </w:r>
    </w:p>
    <w:p w14:paraId="19AE85AA" w14:textId="77777777"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 xml:space="preserve">         Щоб підприємство вважалося таким, що має позитивну податкову історію, йому потрібно відповідати хоча б одному з показників, наведених у додатку 2 до </w:t>
      </w:r>
      <w:hyperlink r:id="rId13" w:anchor="pn18" w:tgtFrame="_blank" w:history="1">
        <w:r w:rsidRPr="00E45422">
          <w:rPr>
            <w:rStyle w:val="a3"/>
            <w:rFonts w:ascii="Times New Roman" w:hAnsi="Times New Roman"/>
            <w:color w:val="000000" w:themeColor="text1"/>
            <w:sz w:val="24"/>
            <w:szCs w:val="24"/>
            <w:u w:val="none"/>
            <w:lang w:eastAsia="uk-UA"/>
          </w:rPr>
          <w:t>Порядку №1165</w:t>
        </w:r>
      </w:hyperlink>
      <w:r w:rsidRPr="00E45422">
        <w:rPr>
          <w:rFonts w:ascii="Times New Roman" w:hAnsi="Times New Roman"/>
          <w:color w:val="000000" w:themeColor="text1"/>
          <w:sz w:val="24"/>
          <w:szCs w:val="24"/>
          <w:lang w:eastAsia="uk-UA"/>
        </w:rPr>
        <w:t>. Всього таких показників 9, але </w:t>
      </w:r>
      <w:r w:rsidRPr="00E45422">
        <w:rPr>
          <w:rFonts w:ascii="Times New Roman" w:hAnsi="Times New Roman"/>
          <w:bCs/>
          <w:color w:val="000000" w:themeColor="text1"/>
          <w:sz w:val="24"/>
          <w:szCs w:val="24"/>
          <w:lang w:eastAsia="uk-UA"/>
        </w:rPr>
        <w:t xml:space="preserve">зміни </w:t>
      </w:r>
      <w:proofErr w:type="spellStart"/>
      <w:r w:rsidRPr="00E45422">
        <w:rPr>
          <w:rFonts w:ascii="Times New Roman" w:hAnsi="Times New Roman"/>
          <w:bCs/>
          <w:color w:val="000000" w:themeColor="text1"/>
          <w:sz w:val="24"/>
          <w:szCs w:val="24"/>
          <w:lang w:eastAsia="uk-UA"/>
        </w:rPr>
        <w:t>внесено</w:t>
      </w:r>
      <w:proofErr w:type="spellEnd"/>
      <w:r w:rsidRPr="00E45422">
        <w:rPr>
          <w:rFonts w:ascii="Times New Roman" w:hAnsi="Times New Roman"/>
          <w:bCs/>
          <w:color w:val="000000" w:themeColor="text1"/>
          <w:sz w:val="24"/>
          <w:szCs w:val="24"/>
          <w:lang w:eastAsia="uk-UA"/>
        </w:rPr>
        <w:t xml:space="preserve"> лише до першого та третього</w:t>
      </w:r>
      <w:r w:rsidRPr="00E45422">
        <w:rPr>
          <w:rFonts w:ascii="Times New Roman" w:hAnsi="Times New Roman"/>
          <w:color w:val="000000" w:themeColor="text1"/>
          <w:sz w:val="24"/>
          <w:szCs w:val="24"/>
          <w:lang w:eastAsia="uk-UA"/>
        </w:rPr>
        <w:t> з них, а саме:</w:t>
      </w:r>
    </w:p>
    <w:p w14:paraId="574A99BB" w14:textId="68A4E9BF"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Cs/>
          <w:color w:val="000000" w:themeColor="text1"/>
          <w:sz w:val="24"/>
          <w:szCs w:val="24"/>
          <w:lang w:eastAsia="uk-UA"/>
        </w:rPr>
        <w:t>1.</w:t>
      </w:r>
      <w:r w:rsidRPr="00E45422">
        <w:rPr>
          <w:rFonts w:ascii="Times New Roman" w:hAnsi="Times New Roman"/>
          <w:color w:val="000000" w:themeColor="text1"/>
          <w:sz w:val="24"/>
          <w:szCs w:val="24"/>
          <w:lang w:eastAsia="uk-UA"/>
        </w:rPr>
        <w:t> Обсяг постачання, зазначений у </w:t>
      </w:r>
      <w:hyperlink r:id="rId14" w:tgtFrame="_blank" w:history="1">
        <w:r w:rsidRPr="00E45422">
          <w:rPr>
            <w:rStyle w:val="a3"/>
            <w:rFonts w:ascii="Times New Roman" w:hAnsi="Times New Roman"/>
            <w:color w:val="000000" w:themeColor="text1"/>
            <w:sz w:val="24"/>
            <w:szCs w:val="24"/>
            <w:u w:val="none"/>
            <w:lang w:eastAsia="uk-UA"/>
          </w:rPr>
          <w:t>ПН</w:t>
        </w:r>
      </w:hyperlink>
      <w:r w:rsidRPr="00E45422">
        <w:rPr>
          <w:rFonts w:ascii="Times New Roman" w:hAnsi="Times New Roman"/>
          <w:color w:val="000000" w:themeColor="text1"/>
          <w:sz w:val="24"/>
          <w:szCs w:val="24"/>
          <w:lang w:eastAsia="uk-UA"/>
        </w:rPr>
        <w:t> / </w:t>
      </w:r>
      <w:hyperlink r:id="rId15" w:tgtFrame="_blank" w:history="1">
        <w:r w:rsidRPr="00E45422">
          <w:rPr>
            <w:rStyle w:val="a3"/>
            <w:rFonts w:ascii="Times New Roman" w:hAnsi="Times New Roman"/>
            <w:color w:val="000000" w:themeColor="text1"/>
            <w:sz w:val="24"/>
            <w:szCs w:val="24"/>
            <w:u w:val="none"/>
            <w:lang w:eastAsia="uk-UA"/>
          </w:rPr>
          <w:t>РК</w:t>
        </w:r>
      </w:hyperlink>
      <w:r w:rsidRPr="00E45422">
        <w:rPr>
          <w:rFonts w:ascii="Times New Roman" w:hAnsi="Times New Roman"/>
          <w:color w:val="000000" w:themeColor="text1"/>
          <w:sz w:val="24"/>
          <w:szCs w:val="24"/>
          <w:lang w:eastAsia="uk-UA"/>
        </w:rPr>
        <w:t>, зареєстрованих у ЄРПН у поточному місяці (з урахуванням поданих на реєстрацію), не має перевищувати </w:t>
      </w:r>
      <w:r w:rsidRPr="00E45422">
        <w:rPr>
          <w:rFonts w:ascii="Times New Roman" w:hAnsi="Times New Roman"/>
          <w:bCs/>
          <w:color w:val="000000" w:themeColor="text1"/>
          <w:sz w:val="24"/>
          <w:szCs w:val="24"/>
          <w:lang w:eastAsia="uk-UA"/>
        </w:rPr>
        <w:t>3 млн грн</w:t>
      </w:r>
      <w:r w:rsidRPr="00E45422">
        <w:rPr>
          <w:rFonts w:ascii="Times New Roman" w:hAnsi="Times New Roman"/>
          <w:color w:val="000000" w:themeColor="text1"/>
          <w:sz w:val="24"/>
          <w:szCs w:val="24"/>
          <w:lang w:eastAsia="uk-UA"/>
        </w:rPr>
        <w:t> (</w:t>
      </w:r>
      <w:r w:rsidRPr="00E45422">
        <w:rPr>
          <w:rFonts w:ascii="Times New Roman" w:hAnsi="Times New Roman"/>
          <w:i/>
          <w:iCs/>
          <w:color w:val="000000" w:themeColor="text1"/>
          <w:sz w:val="24"/>
          <w:szCs w:val="24"/>
          <w:lang w:eastAsia="uk-UA"/>
        </w:rPr>
        <w:t>раніше було 1 млн грн</w:t>
      </w:r>
      <w:r w:rsidRPr="00E45422">
        <w:rPr>
          <w:rFonts w:ascii="Times New Roman" w:hAnsi="Times New Roman"/>
          <w:color w:val="000000" w:themeColor="text1"/>
          <w:sz w:val="24"/>
          <w:szCs w:val="24"/>
          <w:lang w:eastAsia="uk-UA"/>
        </w:rPr>
        <w:t>) за умови, що: обсяг постачання товарів/послуг у поточному місяці за операціями з одним отримувачем – платником ПДВ не перевищує </w:t>
      </w:r>
      <w:r w:rsidRPr="00E45422">
        <w:rPr>
          <w:rFonts w:ascii="Times New Roman" w:hAnsi="Times New Roman"/>
          <w:bCs/>
          <w:color w:val="000000" w:themeColor="text1"/>
          <w:sz w:val="24"/>
          <w:szCs w:val="24"/>
          <w:lang w:eastAsia="uk-UA"/>
        </w:rPr>
        <w:t>500 тис. грн</w:t>
      </w:r>
      <w:r w:rsidRPr="00E45422">
        <w:rPr>
          <w:rFonts w:ascii="Times New Roman" w:hAnsi="Times New Roman"/>
          <w:color w:val="000000" w:themeColor="text1"/>
          <w:sz w:val="24"/>
          <w:szCs w:val="24"/>
          <w:lang w:eastAsia="uk-UA"/>
        </w:rPr>
        <w:t> (</w:t>
      </w:r>
      <w:r w:rsidRPr="00E45422">
        <w:rPr>
          <w:rFonts w:ascii="Times New Roman" w:hAnsi="Times New Roman"/>
          <w:i/>
          <w:iCs/>
          <w:color w:val="000000" w:themeColor="text1"/>
          <w:sz w:val="24"/>
          <w:szCs w:val="24"/>
          <w:lang w:eastAsia="uk-UA"/>
        </w:rPr>
        <w:t>було 100 тис. грн</w:t>
      </w:r>
      <w:r w:rsidRPr="00E45422">
        <w:rPr>
          <w:rFonts w:ascii="Times New Roman" w:hAnsi="Times New Roman"/>
          <w:color w:val="000000" w:themeColor="text1"/>
          <w:sz w:val="24"/>
          <w:szCs w:val="24"/>
          <w:lang w:eastAsia="uk-UA"/>
        </w:rPr>
        <w:t>); керівник платника ПДВ обіймає аналогічну посаду не більш як у </w:t>
      </w:r>
      <w:r w:rsidRPr="00E45422">
        <w:rPr>
          <w:rFonts w:ascii="Times New Roman" w:hAnsi="Times New Roman"/>
          <w:bCs/>
          <w:color w:val="000000" w:themeColor="text1"/>
          <w:sz w:val="24"/>
          <w:szCs w:val="24"/>
          <w:lang w:eastAsia="uk-UA"/>
        </w:rPr>
        <w:t>5-ти</w:t>
      </w:r>
      <w:r w:rsidRPr="00E45422">
        <w:rPr>
          <w:rFonts w:ascii="Times New Roman" w:hAnsi="Times New Roman"/>
          <w:color w:val="000000" w:themeColor="text1"/>
          <w:sz w:val="24"/>
          <w:szCs w:val="24"/>
          <w:lang w:eastAsia="uk-UA"/>
        </w:rPr>
        <w:t> (включно) платників податків (</w:t>
      </w:r>
      <w:r w:rsidRPr="00E45422">
        <w:rPr>
          <w:rFonts w:ascii="Times New Roman" w:hAnsi="Times New Roman"/>
          <w:i/>
          <w:iCs/>
          <w:color w:val="000000" w:themeColor="text1"/>
          <w:sz w:val="24"/>
          <w:szCs w:val="24"/>
          <w:lang w:eastAsia="uk-UA"/>
        </w:rPr>
        <w:t>було 3-х</w:t>
      </w:r>
      <w:r w:rsidRPr="00E45422">
        <w:rPr>
          <w:rFonts w:ascii="Times New Roman" w:hAnsi="Times New Roman"/>
          <w:color w:val="000000" w:themeColor="text1"/>
          <w:sz w:val="24"/>
          <w:szCs w:val="24"/>
          <w:lang w:eastAsia="uk-UA"/>
        </w:rPr>
        <w:t>).</w:t>
      </w:r>
    </w:p>
    <w:p w14:paraId="63F88601" w14:textId="12C8EA80"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Cs/>
          <w:color w:val="000000" w:themeColor="text1"/>
          <w:sz w:val="24"/>
          <w:szCs w:val="24"/>
          <w:lang w:eastAsia="uk-UA"/>
        </w:rPr>
        <w:lastRenderedPageBreak/>
        <w:t>3.</w:t>
      </w:r>
      <w:r w:rsidRPr="00E45422">
        <w:rPr>
          <w:rFonts w:ascii="Times New Roman" w:hAnsi="Times New Roman"/>
          <w:color w:val="000000" w:themeColor="text1"/>
          <w:sz w:val="24"/>
          <w:szCs w:val="24"/>
          <w:lang w:eastAsia="uk-UA"/>
        </w:rPr>
        <w:t> Для платників податку на прибуток залишкова вартість основних засобів, відображена у звітності з цього податку, становить більше 5 млн грн, за умови, що з початку попереднього року керівник та засновник не змінювалися. Тут обсяг операцій не змінився. Але </w:t>
      </w:r>
      <w:r w:rsidRPr="00E45422">
        <w:rPr>
          <w:rFonts w:ascii="Times New Roman" w:hAnsi="Times New Roman"/>
          <w:bCs/>
          <w:color w:val="000000" w:themeColor="text1"/>
          <w:sz w:val="24"/>
          <w:szCs w:val="24"/>
          <w:lang w:eastAsia="uk-UA"/>
        </w:rPr>
        <w:t>тепер одночасно з вищевказаними повинні будуть виконуватись такі умови</w:t>
      </w:r>
      <w:r w:rsidRPr="00E45422">
        <w:rPr>
          <w:rFonts w:ascii="Times New Roman" w:hAnsi="Times New Roman"/>
          <w:color w:val="000000" w:themeColor="text1"/>
          <w:sz w:val="24"/>
          <w:szCs w:val="24"/>
          <w:lang w:eastAsia="uk-UA"/>
        </w:rPr>
        <w:t>:</w:t>
      </w:r>
    </w:p>
    <w:p w14:paraId="5039C3DB" w14:textId="77777777"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Cs/>
          <w:color w:val="000000" w:themeColor="text1"/>
          <w:sz w:val="24"/>
          <w:szCs w:val="24"/>
          <w:lang w:eastAsia="uk-UA"/>
        </w:rPr>
        <w:t>значення показника D має бути більше ніж 0,02</w:t>
      </w:r>
      <w:r w:rsidRPr="00E45422">
        <w:rPr>
          <w:rFonts w:ascii="Times New Roman" w:hAnsi="Times New Roman"/>
          <w:color w:val="000000" w:themeColor="text1"/>
          <w:sz w:val="24"/>
          <w:szCs w:val="24"/>
          <w:lang w:eastAsia="uk-UA"/>
        </w:rPr>
        <w:t>;</w:t>
      </w:r>
    </w:p>
    <w:p w14:paraId="531B8D30" w14:textId="77777777"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Cs/>
          <w:color w:val="000000" w:themeColor="text1"/>
          <w:sz w:val="24"/>
          <w:szCs w:val="24"/>
          <w:lang w:eastAsia="uk-UA"/>
        </w:rPr>
        <w:t xml:space="preserve">значення показника </w:t>
      </w:r>
      <w:proofErr w:type="spellStart"/>
      <w:r w:rsidRPr="00E45422">
        <w:rPr>
          <w:rFonts w:ascii="Times New Roman" w:hAnsi="Times New Roman"/>
          <w:bCs/>
          <w:color w:val="000000" w:themeColor="text1"/>
          <w:sz w:val="24"/>
          <w:szCs w:val="24"/>
          <w:lang w:eastAsia="uk-UA"/>
        </w:rPr>
        <w:t>Pпоточ</w:t>
      </w:r>
      <w:proofErr w:type="spellEnd"/>
      <w:r w:rsidRPr="00E45422">
        <w:rPr>
          <w:rFonts w:ascii="Times New Roman" w:hAnsi="Times New Roman"/>
          <w:bCs/>
          <w:color w:val="000000" w:themeColor="text1"/>
          <w:sz w:val="24"/>
          <w:szCs w:val="24"/>
          <w:lang w:eastAsia="uk-UA"/>
        </w:rPr>
        <w:t xml:space="preserve"> має бути меншим, ніж значення </w:t>
      </w:r>
      <w:proofErr w:type="spellStart"/>
      <w:r w:rsidRPr="00E45422">
        <w:rPr>
          <w:rFonts w:ascii="Times New Roman" w:hAnsi="Times New Roman"/>
          <w:bCs/>
          <w:color w:val="000000" w:themeColor="text1"/>
          <w:sz w:val="24"/>
          <w:szCs w:val="24"/>
          <w:lang w:eastAsia="uk-UA"/>
        </w:rPr>
        <w:t>Рмакс</w:t>
      </w:r>
      <w:proofErr w:type="spellEnd"/>
      <w:r w:rsidRPr="00E45422">
        <w:rPr>
          <w:rFonts w:ascii="Times New Roman" w:hAnsi="Times New Roman"/>
          <w:color w:val="000000" w:themeColor="text1"/>
          <w:sz w:val="24"/>
          <w:szCs w:val="24"/>
          <w:lang w:eastAsia="uk-UA"/>
        </w:rPr>
        <w:t>.</w:t>
      </w:r>
    </w:p>
    <w:p w14:paraId="6304421A" w14:textId="4E2A9203"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 xml:space="preserve"> </w:t>
      </w:r>
      <w:r w:rsidR="001B370A">
        <w:rPr>
          <w:rFonts w:ascii="Times New Roman" w:hAnsi="Times New Roman"/>
          <w:color w:val="000000" w:themeColor="text1"/>
          <w:sz w:val="24"/>
          <w:szCs w:val="24"/>
          <w:lang w:eastAsia="uk-UA"/>
        </w:rPr>
        <w:t>У</w:t>
      </w:r>
      <w:r w:rsidRPr="00E45422">
        <w:rPr>
          <w:rFonts w:ascii="Times New Roman" w:hAnsi="Times New Roman"/>
          <w:color w:val="000000" w:themeColor="text1"/>
          <w:sz w:val="24"/>
          <w:szCs w:val="24"/>
          <w:lang w:eastAsia="uk-UA"/>
        </w:rPr>
        <w:t xml:space="preserve">мови для платників ПДВ погіршились через запровадження додаткових умов щодо мінімального податкового навантаження (D) на рівні 2% та значення показника </w:t>
      </w:r>
      <w:proofErr w:type="spellStart"/>
      <w:r w:rsidRPr="00E45422">
        <w:rPr>
          <w:rFonts w:ascii="Times New Roman" w:hAnsi="Times New Roman"/>
          <w:color w:val="000000" w:themeColor="text1"/>
          <w:sz w:val="24"/>
          <w:szCs w:val="24"/>
          <w:lang w:eastAsia="uk-UA"/>
        </w:rPr>
        <w:t>Pпоточ</w:t>
      </w:r>
      <w:proofErr w:type="spellEnd"/>
      <w:r w:rsidRPr="00E45422">
        <w:rPr>
          <w:rFonts w:ascii="Times New Roman" w:hAnsi="Times New Roman"/>
          <w:color w:val="000000" w:themeColor="text1"/>
          <w:sz w:val="24"/>
          <w:szCs w:val="24"/>
          <w:lang w:eastAsia="uk-UA"/>
        </w:rPr>
        <w:t xml:space="preserve"> не вище ніж </w:t>
      </w:r>
      <w:proofErr w:type="spellStart"/>
      <w:r w:rsidRPr="00E45422">
        <w:rPr>
          <w:rFonts w:ascii="Times New Roman" w:hAnsi="Times New Roman"/>
          <w:color w:val="000000" w:themeColor="text1"/>
          <w:sz w:val="24"/>
          <w:szCs w:val="24"/>
          <w:lang w:eastAsia="uk-UA"/>
        </w:rPr>
        <w:t>Рмакс</w:t>
      </w:r>
      <w:proofErr w:type="spellEnd"/>
      <w:r w:rsidRPr="00E45422">
        <w:rPr>
          <w:rFonts w:ascii="Times New Roman" w:hAnsi="Times New Roman"/>
          <w:color w:val="000000" w:themeColor="text1"/>
          <w:sz w:val="24"/>
          <w:szCs w:val="24"/>
          <w:lang w:eastAsia="uk-UA"/>
        </w:rPr>
        <w:t>.</w:t>
      </w:r>
    </w:p>
    <w:p w14:paraId="3568CD37" w14:textId="523065C4"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
          <w:bCs/>
          <w:color w:val="000000" w:themeColor="text1"/>
          <w:sz w:val="24"/>
          <w:szCs w:val="24"/>
          <w:lang w:eastAsia="uk-UA"/>
        </w:rPr>
        <w:t>Критерії ризиковості здійснення операцій</w:t>
      </w:r>
      <w:r w:rsidRPr="00E45422">
        <w:rPr>
          <w:rFonts w:ascii="Times New Roman" w:hAnsi="Times New Roman"/>
          <w:bCs/>
          <w:color w:val="000000" w:themeColor="text1"/>
          <w:sz w:val="24"/>
          <w:szCs w:val="24"/>
          <w:lang w:eastAsia="uk-UA"/>
        </w:rPr>
        <w:t xml:space="preserve">  </w:t>
      </w:r>
      <w:r w:rsidRPr="00715207">
        <w:rPr>
          <w:rFonts w:ascii="Times New Roman" w:hAnsi="Times New Roman"/>
          <w:i/>
          <w:iCs/>
          <w:color w:val="000000" w:themeColor="text1"/>
          <w:sz w:val="24"/>
          <w:szCs w:val="24"/>
          <w:lang w:eastAsia="uk-UA"/>
        </w:rPr>
        <w:t xml:space="preserve">наведено в додатку 3 до Порядку №1165. Але зміни </w:t>
      </w:r>
      <w:proofErr w:type="spellStart"/>
      <w:r w:rsidRPr="00715207">
        <w:rPr>
          <w:rFonts w:ascii="Times New Roman" w:hAnsi="Times New Roman"/>
          <w:i/>
          <w:iCs/>
          <w:color w:val="000000" w:themeColor="text1"/>
          <w:sz w:val="24"/>
          <w:szCs w:val="24"/>
          <w:lang w:eastAsia="uk-UA"/>
        </w:rPr>
        <w:t>внесено</w:t>
      </w:r>
      <w:proofErr w:type="spellEnd"/>
      <w:r w:rsidRPr="00715207">
        <w:rPr>
          <w:rFonts w:ascii="Times New Roman" w:hAnsi="Times New Roman"/>
          <w:i/>
          <w:iCs/>
          <w:color w:val="000000" w:themeColor="text1"/>
          <w:sz w:val="24"/>
          <w:szCs w:val="24"/>
          <w:lang w:eastAsia="uk-UA"/>
        </w:rPr>
        <w:t xml:space="preserve"> лише до першого та шостого</w:t>
      </w:r>
      <w:r w:rsidRPr="00E45422">
        <w:rPr>
          <w:rFonts w:ascii="Times New Roman" w:hAnsi="Times New Roman"/>
          <w:color w:val="000000" w:themeColor="text1"/>
          <w:sz w:val="24"/>
          <w:szCs w:val="24"/>
          <w:lang w:eastAsia="uk-UA"/>
        </w:rPr>
        <w:t xml:space="preserve">. </w:t>
      </w:r>
    </w:p>
    <w:p w14:paraId="109594CB" w14:textId="350C53A1"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Cs/>
          <w:color w:val="000000" w:themeColor="text1"/>
          <w:sz w:val="24"/>
          <w:szCs w:val="24"/>
          <w:lang w:eastAsia="uk-UA"/>
        </w:rPr>
        <w:t xml:space="preserve"> Перший критерій ризиковості операцій до і після 27.09.2025</w:t>
      </w:r>
    </w:p>
    <w:p w14:paraId="5579F31B" w14:textId="2F9D319A"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 xml:space="preserve"> Нова </w:t>
      </w:r>
      <w:r w:rsidRPr="00715207">
        <w:rPr>
          <w:rFonts w:ascii="Times New Roman" w:hAnsi="Times New Roman"/>
          <w:i/>
          <w:iCs/>
          <w:color w:val="000000" w:themeColor="text1"/>
          <w:sz w:val="24"/>
          <w:szCs w:val="24"/>
          <w:lang w:eastAsia="uk-UA"/>
        </w:rPr>
        <w:t>редакція мало чим відрізняється від старої</w:t>
      </w:r>
      <w:r w:rsidRPr="00E45422">
        <w:rPr>
          <w:rFonts w:ascii="Times New Roman" w:hAnsi="Times New Roman"/>
          <w:color w:val="000000" w:themeColor="text1"/>
          <w:sz w:val="24"/>
          <w:szCs w:val="24"/>
          <w:lang w:eastAsia="uk-UA"/>
        </w:rPr>
        <w:t>. Зміни стосуються лише формулювань – вони дещо спрощені. Цей критерій говорить про те, що </w:t>
      </w:r>
      <w:hyperlink r:id="rId16" w:tgtFrame="_blank" w:history="1">
        <w:r w:rsidRPr="00E45422">
          <w:rPr>
            <w:rStyle w:val="a3"/>
            <w:rFonts w:ascii="Times New Roman" w:hAnsi="Times New Roman"/>
            <w:color w:val="000000" w:themeColor="text1"/>
            <w:sz w:val="24"/>
            <w:szCs w:val="24"/>
            <w:u w:val="none"/>
            <w:lang w:eastAsia="uk-UA"/>
          </w:rPr>
          <w:t>ПН</w:t>
        </w:r>
      </w:hyperlink>
      <w:r w:rsidRPr="00E45422">
        <w:rPr>
          <w:rFonts w:ascii="Times New Roman" w:hAnsi="Times New Roman"/>
          <w:color w:val="000000" w:themeColor="text1"/>
          <w:sz w:val="24"/>
          <w:szCs w:val="24"/>
          <w:lang w:eastAsia="uk-UA"/>
        </w:rPr>
        <w:t> / </w:t>
      </w:r>
      <w:hyperlink r:id="rId17" w:tgtFrame="_blank" w:history="1">
        <w:r w:rsidRPr="00E45422">
          <w:rPr>
            <w:rStyle w:val="a3"/>
            <w:rFonts w:ascii="Times New Roman" w:hAnsi="Times New Roman"/>
            <w:color w:val="000000" w:themeColor="text1"/>
            <w:sz w:val="24"/>
            <w:szCs w:val="24"/>
            <w:u w:val="none"/>
            <w:lang w:eastAsia="uk-UA"/>
          </w:rPr>
          <w:t>РК</w:t>
        </w:r>
      </w:hyperlink>
      <w:r w:rsidRPr="00E45422">
        <w:rPr>
          <w:rFonts w:ascii="Times New Roman" w:hAnsi="Times New Roman"/>
          <w:color w:val="000000" w:themeColor="text1"/>
          <w:sz w:val="24"/>
          <w:szCs w:val="24"/>
          <w:lang w:eastAsia="uk-UA"/>
        </w:rPr>
        <w:t> (на збільшення) блокуватимуться в разі, якщо кількість вказаних в них товарів перевищуватиме величину залишку таких товарів, що обчислюється ДПС. Така ситуація, як правило, трапляється у виробників, які реалізують свою продукцію і які не подали Таблицю даних платника ПДВ або подана ними Таблиця не була врахована податківцями. Після врахування такої Таблиці заблоковані з цієї причини ПН / РК мають бути зареєстровані в автоматичному порядку при виконанні ряду умов (докладніше про це – далі).</w:t>
      </w:r>
    </w:p>
    <w:p w14:paraId="427037F6" w14:textId="77777777" w:rsidR="00E45422" w:rsidRPr="00E45422" w:rsidRDefault="00E45422"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Cs/>
          <w:color w:val="000000" w:themeColor="text1"/>
          <w:sz w:val="24"/>
          <w:szCs w:val="24"/>
          <w:lang w:eastAsia="uk-UA"/>
        </w:rPr>
        <w:t xml:space="preserve">        Шостий критерій</w:t>
      </w:r>
      <w:r w:rsidRPr="00E45422">
        <w:rPr>
          <w:rFonts w:ascii="Times New Roman" w:hAnsi="Times New Roman"/>
          <w:color w:val="000000" w:themeColor="text1"/>
          <w:sz w:val="24"/>
          <w:szCs w:val="24"/>
          <w:lang w:eastAsia="uk-UA"/>
        </w:rPr>
        <w:t> – це подання для реєстрації в ЄРПН РК на зменшення податкових зобов’язань до ПН, складеної та зареєстрованої на неплатника ПДВ, у строк, що перевищує тепер </w:t>
      </w:r>
      <w:r w:rsidRPr="00E45422">
        <w:rPr>
          <w:rFonts w:ascii="Times New Roman" w:hAnsi="Times New Roman"/>
          <w:bCs/>
          <w:color w:val="000000" w:themeColor="text1"/>
          <w:sz w:val="24"/>
          <w:szCs w:val="24"/>
          <w:lang w:eastAsia="uk-UA"/>
        </w:rPr>
        <w:t>90 календарних днів</w:t>
      </w:r>
      <w:r w:rsidRPr="00E45422">
        <w:rPr>
          <w:rFonts w:ascii="Times New Roman" w:hAnsi="Times New Roman"/>
          <w:color w:val="000000" w:themeColor="text1"/>
          <w:sz w:val="24"/>
          <w:szCs w:val="24"/>
          <w:lang w:eastAsia="uk-UA"/>
        </w:rPr>
        <w:t> (</w:t>
      </w:r>
      <w:r w:rsidRPr="00E45422">
        <w:rPr>
          <w:rFonts w:ascii="Times New Roman" w:hAnsi="Times New Roman"/>
          <w:i/>
          <w:iCs/>
          <w:color w:val="000000" w:themeColor="text1"/>
          <w:sz w:val="24"/>
          <w:szCs w:val="24"/>
          <w:lang w:eastAsia="uk-UA"/>
        </w:rPr>
        <w:t>раніше було 30 календарних днів</w:t>
      </w:r>
      <w:r w:rsidRPr="00E45422">
        <w:rPr>
          <w:rFonts w:ascii="Times New Roman" w:hAnsi="Times New Roman"/>
          <w:color w:val="000000" w:themeColor="text1"/>
          <w:sz w:val="24"/>
          <w:szCs w:val="24"/>
          <w:lang w:eastAsia="uk-UA"/>
        </w:rPr>
        <w:t>) з дня складення такої ПН без порушення граничних строків реєстрації, встановлених ПКУ, крім РК до ПН, у якій відображені операції з постачання електричної енергії, природного газу та теплової енергії.  Тобто ризиковою тепер буде операція з повернення товару або коштів через три місяці (а не через один) після їх отримання, що спричинить оформлення РК на зменшення податкових зобов’язань. Це має зменшити кількість операцій, які підпадатимуть під цей критерій і блокуватимуться.</w:t>
      </w:r>
    </w:p>
    <w:p w14:paraId="6A8FE9A4" w14:textId="5822B50F" w:rsidR="00A43209" w:rsidRPr="00E45422" w:rsidRDefault="00E45422" w:rsidP="00715207">
      <w:pPr>
        <w:pStyle w:val="a4"/>
        <w:ind w:firstLine="567"/>
        <w:jc w:val="center"/>
        <w:rPr>
          <w:rFonts w:ascii="Times New Roman" w:hAnsi="Times New Roman"/>
          <w:b/>
          <w:bCs/>
          <w:color w:val="000000" w:themeColor="text1"/>
          <w:spacing w:val="16"/>
          <w:sz w:val="24"/>
          <w:szCs w:val="24"/>
        </w:rPr>
      </w:pPr>
      <w:r w:rsidRPr="00E45422">
        <w:rPr>
          <w:rFonts w:ascii="Times New Roman" w:hAnsi="Times New Roman"/>
          <w:b/>
          <w:bCs/>
          <w:color w:val="000000" w:themeColor="text1"/>
          <w:spacing w:val="16"/>
          <w:sz w:val="24"/>
          <w:szCs w:val="24"/>
        </w:rPr>
        <w:t>НАСЛІДКИ СКАСУВАННЯ ГКУ</w:t>
      </w:r>
    </w:p>
    <w:p w14:paraId="26934325" w14:textId="4688EFB8" w:rsidR="0059491B" w:rsidRPr="00E45422" w:rsidRDefault="00FC646C" w:rsidP="00E45422">
      <w:pPr>
        <w:pStyle w:val="a5"/>
        <w:shd w:val="clear" w:color="auto" w:fill="FFFFFF"/>
        <w:spacing w:before="0" w:beforeAutospacing="0" w:after="0" w:afterAutospacing="0"/>
        <w:ind w:firstLine="567"/>
        <w:jc w:val="both"/>
        <w:rPr>
          <w:color w:val="000000" w:themeColor="text1"/>
        </w:rPr>
      </w:pPr>
      <w:hyperlink r:id="rId18" w:tgtFrame="_blank" w:history="1">
        <w:r w:rsidR="0059491B" w:rsidRPr="00E45422">
          <w:rPr>
            <w:rStyle w:val="a3"/>
            <w:color w:val="000000" w:themeColor="text1"/>
            <w:u w:val="none"/>
          </w:rPr>
          <w:t>Закон №4196</w:t>
        </w:r>
      </w:hyperlink>
      <w:r w:rsidR="0059491B" w:rsidRPr="00E45422">
        <w:rPr>
          <w:color w:val="000000" w:themeColor="text1"/>
        </w:rPr>
        <w:t xml:space="preserve">   набрав чинності </w:t>
      </w:r>
      <w:r w:rsidR="0059491B" w:rsidRPr="00E45422">
        <w:rPr>
          <w:rStyle w:val="a6"/>
          <w:color w:val="000000" w:themeColor="text1"/>
        </w:rPr>
        <w:t xml:space="preserve"> з 28 серпня 2025 року</w:t>
      </w:r>
      <w:r w:rsidR="0059491B" w:rsidRPr="00E45422">
        <w:rPr>
          <w:color w:val="000000" w:themeColor="text1"/>
        </w:rPr>
        <w:t>, крім окремих положень. У перехідний період (три роки з дати введення Закону у дію) допускається функціонування раніше створених підприємств у формах державного, комунального, приватного, казенного, іноземного підприємства, тощо. А створення нових юридичних осіб у таких формах заборонено (ст. 13 Закону). Після завершення перехідного періоду юридичні особи у формі «підприємств» повинні бути перетворені на інші організаційно-правові форми – </w:t>
      </w:r>
      <w:hyperlink r:id="rId19" w:tgtFrame="_blank" w:history="1">
        <w:r w:rsidR="0059491B" w:rsidRPr="00E45422">
          <w:rPr>
            <w:rStyle w:val="a3"/>
            <w:color w:val="000000" w:themeColor="text1"/>
            <w:u w:val="none"/>
          </w:rPr>
          <w:t>господарські товариства</w:t>
        </w:r>
      </w:hyperlink>
      <w:r w:rsidR="0059491B" w:rsidRPr="00E45422">
        <w:rPr>
          <w:color w:val="000000" w:themeColor="text1"/>
        </w:rPr>
        <w:t>.</w:t>
      </w:r>
    </w:p>
    <w:p w14:paraId="7A839CBB" w14:textId="02C94AC8" w:rsidR="0059491B" w:rsidRPr="00E45422" w:rsidRDefault="0059491B" w:rsidP="00E45422">
      <w:pPr>
        <w:pStyle w:val="a5"/>
        <w:shd w:val="clear" w:color="auto" w:fill="FFFFFF"/>
        <w:spacing w:before="0" w:beforeAutospacing="0" w:after="0" w:afterAutospacing="0"/>
        <w:ind w:firstLine="567"/>
        <w:jc w:val="both"/>
        <w:rPr>
          <w:color w:val="000000" w:themeColor="text1"/>
        </w:rPr>
      </w:pPr>
      <w:r w:rsidRPr="00E45422">
        <w:rPr>
          <w:rStyle w:val="a6"/>
          <w:color w:val="000000" w:themeColor="text1"/>
        </w:rPr>
        <w:t>Договори, укладені до 28.08.2025,</w:t>
      </w:r>
      <w:r w:rsidRPr="00E45422">
        <w:rPr>
          <w:color w:val="000000" w:themeColor="text1"/>
        </w:rPr>
        <w:t> залишаються чинними, навіть якщо вони містять посилання на норми ГКУ. Це не робить їх недійсними.</w:t>
      </w:r>
    </w:p>
    <w:p w14:paraId="2620BE47" w14:textId="401E89E4" w:rsidR="0059491B" w:rsidRPr="00E45422" w:rsidRDefault="0059491B" w:rsidP="00E45422">
      <w:pPr>
        <w:shd w:val="clear" w:color="auto" w:fill="FFFFFF"/>
        <w:spacing w:after="0" w:line="240" w:lineRule="auto"/>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З моменту втрати чинності ГКУ</w:t>
      </w:r>
      <w:r w:rsidRPr="00E45422">
        <w:rPr>
          <w:rFonts w:ascii="Times New Roman" w:hAnsi="Times New Roman"/>
          <w:color w:val="000000" w:themeColor="text1"/>
          <w:sz w:val="24"/>
          <w:szCs w:val="24"/>
        </w:rPr>
        <w:t> до таких договорів застосовуються норми ЦКУ та спеціальних законів – у частині, яка не врегульована безпосередньо текстом договору, з урахуванням особливостей на період дії воєнного стану.</w:t>
      </w:r>
    </w:p>
    <w:p w14:paraId="51306583" w14:textId="09D90F14" w:rsidR="0059491B" w:rsidRPr="00E45422" w:rsidRDefault="0059491B" w:rsidP="00E45422">
      <w:pPr>
        <w:shd w:val="clear" w:color="auto" w:fill="FFFFFF"/>
        <w:spacing w:after="0" w:line="240" w:lineRule="auto"/>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Нові договори або зміни до них після 28.08.2025</w:t>
      </w:r>
      <w:r w:rsidRPr="00E45422">
        <w:rPr>
          <w:rFonts w:ascii="Times New Roman" w:hAnsi="Times New Roman"/>
          <w:color w:val="000000" w:themeColor="text1"/>
          <w:sz w:val="24"/>
          <w:szCs w:val="24"/>
        </w:rPr>
        <w:t> мають укладатися без відсилань до ГКУ, із застосуванням ЦКУ та спеціальних законів (зокрема, </w:t>
      </w:r>
      <w:hyperlink r:id="rId20" w:tgtFrame="_blank" w:history="1">
        <w:r w:rsidRPr="00E45422">
          <w:rPr>
            <w:rStyle w:val="a3"/>
            <w:rFonts w:ascii="Times New Roman" w:hAnsi="Times New Roman"/>
            <w:color w:val="000000" w:themeColor="text1"/>
            <w:sz w:val="24"/>
            <w:szCs w:val="24"/>
            <w:u w:val="none"/>
          </w:rPr>
          <w:t>Закону №4196</w:t>
        </w:r>
      </w:hyperlink>
      <w:r w:rsidRPr="00E45422">
        <w:rPr>
          <w:rFonts w:ascii="Times New Roman" w:hAnsi="Times New Roman"/>
          <w:color w:val="000000" w:themeColor="text1"/>
          <w:sz w:val="24"/>
          <w:szCs w:val="24"/>
        </w:rPr>
        <w:t>).</w:t>
      </w:r>
    </w:p>
    <w:p w14:paraId="48B32383" w14:textId="180B4400" w:rsidR="0059491B" w:rsidRPr="00E45422" w:rsidRDefault="0059491B" w:rsidP="00E45422">
      <w:pPr>
        <w:pStyle w:val="a5"/>
        <w:shd w:val="clear" w:color="auto" w:fill="FFFFFF"/>
        <w:spacing w:before="0" w:beforeAutospacing="0" w:after="0" w:afterAutospacing="0"/>
        <w:ind w:firstLine="567"/>
        <w:jc w:val="both"/>
        <w:rPr>
          <w:color w:val="000000" w:themeColor="text1"/>
        </w:rPr>
      </w:pPr>
      <w:r w:rsidRPr="00E45422">
        <w:rPr>
          <w:rStyle w:val="a6"/>
          <w:color w:val="000000" w:themeColor="text1"/>
        </w:rPr>
        <w:t xml:space="preserve"> Мін’юст про наслідки для договорів за ГКУ</w:t>
      </w:r>
    </w:p>
    <w:p w14:paraId="1B663906" w14:textId="77777777" w:rsidR="0059491B" w:rsidRPr="00E45422" w:rsidRDefault="00FC646C" w:rsidP="00E45422">
      <w:pPr>
        <w:numPr>
          <w:ilvl w:val="0"/>
          <w:numId w:val="16"/>
        </w:numPr>
        <w:shd w:val="clear" w:color="auto" w:fill="FFFFFF"/>
        <w:spacing w:after="0" w:line="240" w:lineRule="auto"/>
        <w:ind w:left="0" w:firstLine="567"/>
        <w:jc w:val="both"/>
        <w:rPr>
          <w:rFonts w:ascii="Times New Roman" w:hAnsi="Times New Roman"/>
          <w:color w:val="000000" w:themeColor="text1"/>
          <w:sz w:val="24"/>
          <w:szCs w:val="24"/>
        </w:rPr>
      </w:pPr>
      <w:hyperlink r:id="rId21" w:anchor="pn1301" w:tgtFrame="_blank" w:history="1">
        <w:r w:rsidR="0059491B" w:rsidRPr="00E45422">
          <w:rPr>
            <w:rStyle w:val="a3"/>
            <w:rFonts w:ascii="Times New Roman" w:hAnsi="Times New Roman"/>
            <w:color w:val="000000" w:themeColor="text1"/>
            <w:sz w:val="24"/>
            <w:szCs w:val="24"/>
            <w:u w:val="none"/>
          </w:rPr>
          <w:t>глава 20</w:t>
        </w:r>
      </w:hyperlink>
      <w:r w:rsidR="0059491B" w:rsidRPr="00E45422">
        <w:rPr>
          <w:rFonts w:ascii="Times New Roman" w:hAnsi="Times New Roman"/>
          <w:color w:val="000000" w:themeColor="text1"/>
          <w:sz w:val="24"/>
          <w:szCs w:val="24"/>
        </w:rPr>
        <w:t> “Господарські договори” ГКУ – відносини, регулюються положеннями </w:t>
      </w:r>
      <w:hyperlink r:id="rId22" w:anchor="st52" w:tgtFrame="_blank" w:history="1">
        <w:r w:rsidR="0059491B" w:rsidRPr="00E45422">
          <w:rPr>
            <w:rStyle w:val="a3"/>
            <w:rFonts w:ascii="Times New Roman" w:hAnsi="Times New Roman"/>
            <w:color w:val="000000" w:themeColor="text1"/>
            <w:sz w:val="24"/>
            <w:szCs w:val="24"/>
            <w:u w:val="none"/>
          </w:rPr>
          <w:t>глав 52</w:t>
        </w:r>
      </w:hyperlink>
      <w:r w:rsidR="0059491B" w:rsidRPr="00E45422">
        <w:rPr>
          <w:rFonts w:ascii="Times New Roman" w:hAnsi="Times New Roman"/>
          <w:color w:val="000000" w:themeColor="text1"/>
          <w:sz w:val="24"/>
          <w:szCs w:val="24"/>
        </w:rPr>
        <w:t>, </w:t>
      </w:r>
      <w:hyperlink r:id="rId23" w:anchor="st53" w:tgtFrame="_blank" w:history="1">
        <w:r w:rsidR="0059491B" w:rsidRPr="00E45422">
          <w:rPr>
            <w:rStyle w:val="a3"/>
            <w:rFonts w:ascii="Times New Roman" w:hAnsi="Times New Roman"/>
            <w:color w:val="000000" w:themeColor="text1"/>
            <w:sz w:val="24"/>
            <w:szCs w:val="24"/>
            <w:u w:val="none"/>
          </w:rPr>
          <w:t>53 ЦКУ</w:t>
        </w:r>
      </w:hyperlink>
      <w:r w:rsidR="0059491B" w:rsidRPr="00E45422">
        <w:rPr>
          <w:rFonts w:ascii="Times New Roman" w:hAnsi="Times New Roman"/>
          <w:color w:val="000000" w:themeColor="text1"/>
          <w:sz w:val="24"/>
          <w:szCs w:val="24"/>
        </w:rPr>
        <w:t>, які є аналогічними щодо поняття та умов договорів, порядку їх укладення, змін і розірвання;</w:t>
      </w:r>
    </w:p>
    <w:p w14:paraId="3BA66C41" w14:textId="77777777" w:rsidR="0059491B" w:rsidRPr="00E45422" w:rsidRDefault="00FC646C" w:rsidP="00E45422">
      <w:pPr>
        <w:numPr>
          <w:ilvl w:val="0"/>
          <w:numId w:val="16"/>
        </w:numPr>
        <w:shd w:val="clear" w:color="auto" w:fill="FFFFFF"/>
        <w:spacing w:after="0" w:line="240" w:lineRule="auto"/>
        <w:ind w:left="0" w:firstLine="567"/>
        <w:jc w:val="both"/>
        <w:rPr>
          <w:rFonts w:ascii="Times New Roman" w:hAnsi="Times New Roman"/>
          <w:color w:val="000000" w:themeColor="text1"/>
          <w:sz w:val="24"/>
          <w:szCs w:val="24"/>
        </w:rPr>
      </w:pPr>
      <w:hyperlink r:id="rId24" w:anchor="pn1479" w:tgtFrame="_blank" w:history="1">
        <w:r w:rsidR="0059491B" w:rsidRPr="00E45422">
          <w:rPr>
            <w:rStyle w:val="a3"/>
            <w:rFonts w:ascii="Times New Roman" w:hAnsi="Times New Roman"/>
            <w:color w:val="000000" w:themeColor="text1"/>
            <w:sz w:val="24"/>
            <w:szCs w:val="24"/>
            <w:u w:val="none"/>
          </w:rPr>
          <w:t>глава 24</w:t>
        </w:r>
      </w:hyperlink>
      <w:r w:rsidR="0059491B" w:rsidRPr="00E45422">
        <w:rPr>
          <w:rFonts w:ascii="Times New Roman" w:hAnsi="Times New Roman"/>
          <w:color w:val="000000" w:themeColor="text1"/>
          <w:sz w:val="24"/>
          <w:szCs w:val="24"/>
        </w:rPr>
        <w:t> “Загальні засади відповідальності учасників господарських відносин” ГКУ – відносини в повній мірі врегульовані положеннями </w:t>
      </w:r>
      <w:hyperlink r:id="rId25" w:anchor="pn89" w:tgtFrame="_blank" w:history="1">
        <w:r w:rsidR="0059491B" w:rsidRPr="00E45422">
          <w:rPr>
            <w:rStyle w:val="a3"/>
            <w:rFonts w:ascii="Times New Roman" w:hAnsi="Times New Roman"/>
            <w:color w:val="000000" w:themeColor="text1"/>
            <w:sz w:val="24"/>
            <w:szCs w:val="24"/>
            <w:u w:val="none"/>
          </w:rPr>
          <w:t>глав 3</w:t>
        </w:r>
      </w:hyperlink>
      <w:r w:rsidR="0059491B" w:rsidRPr="00E45422">
        <w:rPr>
          <w:rFonts w:ascii="Times New Roman" w:hAnsi="Times New Roman"/>
          <w:color w:val="000000" w:themeColor="text1"/>
          <w:sz w:val="24"/>
          <w:szCs w:val="24"/>
        </w:rPr>
        <w:t>, </w:t>
      </w:r>
      <w:hyperlink r:id="rId26" w:anchor="pn2526" w:tgtFrame="_blank" w:history="1">
        <w:r w:rsidR="0059491B" w:rsidRPr="00E45422">
          <w:rPr>
            <w:rStyle w:val="a3"/>
            <w:rFonts w:ascii="Times New Roman" w:hAnsi="Times New Roman"/>
            <w:color w:val="000000" w:themeColor="text1"/>
            <w:sz w:val="24"/>
            <w:szCs w:val="24"/>
            <w:u w:val="none"/>
          </w:rPr>
          <w:t>47</w:t>
        </w:r>
      </w:hyperlink>
      <w:r w:rsidR="0059491B" w:rsidRPr="00E45422">
        <w:rPr>
          <w:rFonts w:ascii="Times New Roman" w:hAnsi="Times New Roman"/>
          <w:color w:val="000000" w:themeColor="text1"/>
          <w:sz w:val="24"/>
          <w:szCs w:val="24"/>
        </w:rPr>
        <w:t>, </w:t>
      </w:r>
      <w:hyperlink r:id="rId27" w:anchor="pn2578" w:tgtFrame="_blank" w:history="1">
        <w:r w:rsidR="0059491B" w:rsidRPr="00E45422">
          <w:rPr>
            <w:rStyle w:val="a3"/>
            <w:rFonts w:ascii="Times New Roman" w:hAnsi="Times New Roman"/>
            <w:color w:val="000000" w:themeColor="text1"/>
            <w:sz w:val="24"/>
            <w:szCs w:val="24"/>
            <w:u w:val="none"/>
          </w:rPr>
          <w:t>48</w:t>
        </w:r>
      </w:hyperlink>
      <w:r w:rsidR="0059491B" w:rsidRPr="00E45422">
        <w:rPr>
          <w:rFonts w:ascii="Times New Roman" w:hAnsi="Times New Roman"/>
          <w:color w:val="000000" w:themeColor="text1"/>
          <w:sz w:val="24"/>
          <w:szCs w:val="24"/>
        </w:rPr>
        <w:t>, </w:t>
      </w:r>
      <w:hyperlink r:id="rId28" w:anchor="pn2995" w:tgtFrame="_blank" w:history="1">
        <w:r w:rsidR="0059491B" w:rsidRPr="00E45422">
          <w:rPr>
            <w:rStyle w:val="a3"/>
            <w:rFonts w:ascii="Times New Roman" w:hAnsi="Times New Roman"/>
            <w:color w:val="000000" w:themeColor="text1"/>
            <w:sz w:val="24"/>
            <w:szCs w:val="24"/>
            <w:u w:val="none"/>
          </w:rPr>
          <w:t>51</w:t>
        </w:r>
      </w:hyperlink>
      <w:r w:rsidR="0059491B" w:rsidRPr="00E45422">
        <w:rPr>
          <w:rFonts w:ascii="Times New Roman" w:hAnsi="Times New Roman"/>
          <w:color w:val="000000" w:themeColor="text1"/>
          <w:sz w:val="24"/>
          <w:szCs w:val="24"/>
        </w:rPr>
        <w:t> ЦКУ;</w:t>
      </w:r>
    </w:p>
    <w:p w14:paraId="7A93C19E" w14:textId="77777777" w:rsidR="0059491B" w:rsidRPr="00E45422" w:rsidRDefault="00FC646C" w:rsidP="00E45422">
      <w:pPr>
        <w:numPr>
          <w:ilvl w:val="0"/>
          <w:numId w:val="16"/>
        </w:numPr>
        <w:shd w:val="clear" w:color="auto" w:fill="FFFFFF"/>
        <w:spacing w:after="0" w:line="240" w:lineRule="auto"/>
        <w:ind w:left="0" w:firstLine="567"/>
        <w:jc w:val="both"/>
        <w:rPr>
          <w:rFonts w:ascii="Times New Roman" w:hAnsi="Times New Roman"/>
          <w:color w:val="000000" w:themeColor="text1"/>
          <w:sz w:val="24"/>
          <w:szCs w:val="24"/>
        </w:rPr>
      </w:pPr>
      <w:hyperlink r:id="rId29" w:anchor="pn1529" w:tgtFrame="_blank" w:history="1">
        <w:r w:rsidR="0059491B" w:rsidRPr="00E45422">
          <w:rPr>
            <w:rStyle w:val="a3"/>
            <w:rFonts w:ascii="Times New Roman" w:hAnsi="Times New Roman"/>
            <w:color w:val="000000" w:themeColor="text1"/>
            <w:sz w:val="24"/>
            <w:szCs w:val="24"/>
            <w:u w:val="none"/>
          </w:rPr>
          <w:t>глава 25</w:t>
        </w:r>
      </w:hyperlink>
      <w:r w:rsidR="0059491B" w:rsidRPr="00E45422">
        <w:rPr>
          <w:rFonts w:ascii="Times New Roman" w:hAnsi="Times New Roman"/>
          <w:color w:val="000000" w:themeColor="text1"/>
          <w:sz w:val="24"/>
          <w:szCs w:val="24"/>
        </w:rPr>
        <w:t> “Відшкодування збитків у сфері господарювання” ГКУ – відносини в повній мірі врегульовані положеннями </w:t>
      </w:r>
      <w:hyperlink r:id="rId30" w:anchor="pn1504" w:tgtFrame="_blank" w:history="1">
        <w:r w:rsidR="0059491B" w:rsidRPr="00E45422">
          <w:rPr>
            <w:rStyle w:val="a3"/>
            <w:rFonts w:ascii="Times New Roman" w:hAnsi="Times New Roman"/>
            <w:color w:val="000000" w:themeColor="text1"/>
            <w:sz w:val="24"/>
            <w:szCs w:val="24"/>
            <w:u w:val="none"/>
          </w:rPr>
          <w:t>глав 22</w:t>
        </w:r>
      </w:hyperlink>
      <w:r w:rsidR="0059491B" w:rsidRPr="00E45422">
        <w:rPr>
          <w:rFonts w:ascii="Times New Roman" w:hAnsi="Times New Roman"/>
          <w:color w:val="000000" w:themeColor="text1"/>
          <w:sz w:val="24"/>
          <w:szCs w:val="24"/>
        </w:rPr>
        <w:t>, </w:t>
      </w:r>
      <w:hyperlink r:id="rId31" w:anchor="pn2526" w:tgtFrame="_blank" w:history="1">
        <w:r w:rsidR="0059491B" w:rsidRPr="00E45422">
          <w:rPr>
            <w:rStyle w:val="a3"/>
            <w:rFonts w:ascii="Times New Roman" w:hAnsi="Times New Roman"/>
            <w:color w:val="000000" w:themeColor="text1"/>
            <w:sz w:val="24"/>
            <w:szCs w:val="24"/>
            <w:u w:val="none"/>
          </w:rPr>
          <w:t>47</w:t>
        </w:r>
      </w:hyperlink>
      <w:r w:rsidR="0059491B" w:rsidRPr="00E45422">
        <w:rPr>
          <w:rFonts w:ascii="Times New Roman" w:hAnsi="Times New Roman"/>
          <w:color w:val="000000" w:themeColor="text1"/>
          <w:sz w:val="24"/>
          <w:szCs w:val="24"/>
        </w:rPr>
        <w:t>, </w:t>
      </w:r>
      <w:hyperlink r:id="rId32" w:anchor="pn2578" w:tgtFrame="_blank" w:history="1">
        <w:r w:rsidR="0059491B" w:rsidRPr="00E45422">
          <w:rPr>
            <w:rStyle w:val="a3"/>
            <w:rFonts w:ascii="Times New Roman" w:hAnsi="Times New Roman"/>
            <w:color w:val="000000" w:themeColor="text1"/>
            <w:sz w:val="24"/>
            <w:szCs w:val="24"/>
            <w:u w:val="none"/>
          </w:rPr>
          <w:t>48</w:t>
        </w:r>
      </w:hyperlink>
      <w:r w:rsidR="0059491B" w:rsidRPr="00E45422">
        <w:rPr>
          <w:rFonts w:ascii="Times New Roman" w:hAnsi="Times New Roman"/>
          <w:color w:val="000000" w:themeColor="text1"/>
          <w:sz w:val="24"/>
          <w:szCs w:val="24"/>
        </w:rPr>
        <w:t>, </w:t>
      </w:r>
      <w:hyperlink r:id="rId33" w:anchor="pn2995" w:tgtFrame="_blank" w:history="1">
        <w:r w:rsidR="0059491B" w:rsidRPr="00E45422">
          <w:rPr>
            <w:rStyle w:val="a3"/>
            <w:rFonts w:ascii="Times New Roman" w:hAnsi="Times New Roman"/>
            <w:color w:val="000000" w:themeColor="text1"/>
            <w:sz w:val="24"/>
            <w:szCs w:val="24"/>
            <w:u w:val="none"/>
          </w:rPr>
          <w:t>51</w:t>
        </w:r>
      </w:hyperlink>
      <w:r w:rsidR="0059491B" w:rsidRPr="00E45422">
        <w:rPr>
          <w:rFonts w:ascii="Times New Roman" w:hAnsi="Times New Roman"/>
          <w:color w:val="000000" w:themeColor="text1"/>
          <w:sz w:val="24"/>
          <w:szCs w:val="24"/>
        </w:rPr>
        <w:t> ЦКУ; </w:t>
      </w:r>
    </w:p>
    <w:p w14:paraId="1177B998" w14:textId="77777777" w:rsidR="0059491B" w:rsidRPr="00E45422" w:rsidRDefault="00FC646C" w:rsidP="00E45422">
      <w:pPr>
        <w:numPr>
          <w:ilvl w:val="0"/>
          <w:numId w:val="16"/>
        </w:numPr>
        <w:shd w:val="clear" w:color="auto" w:fill="FFFFFF"/>
        <w:spacing w:after="0" w:line="240" w:lineRule="auto"/>
        <w:ind w:left="0" w:firstLine="567"/>
        <w:jc w:val="both"/>
        <w:rPr>
          <w:rFonts w:ascii="Times New Roman" w:hAnsi="Times New Roman"/>
          <w:color w:val="000000" w:themeColor="text1"/>
          <w:sz w:val="24"/>
          <w:szCs w:val="24"/>
        </w:rPr>
      </w:pPr>
      <w:hyperlink r:id="rId34" w:anchor="pn1559" w:tgtFrame="_blank" w:history="1">
        <w:r w:rsidR="0059491B" w:rsidRPr="00E45422">
          <w:rPr>
            <w:rStyle w:val="a3"/>
            <w:rFonts w:ascii="Times New Roman" w:hAnsi="Times New Roman"/>
            <w:color w:val="000000" w:themeColor="text1"/>
            <w:sz w:val="24"/>
            <w:szCs w:val="24"/>
            <w:u w:val="none"/>
          </w:rPr>
          <w:t>глава 26</w:t>
        </w:r>
      </w:hyperlink>
      <w:r w:rsidR="0059491B" w:rsidRPr="00E45422">
        <w:rPr>
          <w:rFonts w:ascii="Times New Roman" w:hAnsi="Times New Roman"/>
          <w:color w:val="000000" w:themeColor="text1"/>
          <w:sz w:val="24"/>
          <w:szCs w:val="24"/>
        </w:rPr>
        <w:t xml:space="preserve"> “Штрафні та </w:t>
      </w:r>
      <w:proofErr w:type="spellStart"/>
      <w:r w:rsidR="0059491B" w:rsidRPr="00E45422">
        <w:rPr>
          <w:rFonts w:ascii="Times New Roman" w:hAnsi="Times New Roman"/>
          <w:color w:val="000000" w:themeColor="text1"/>
          <w:sz w:val="24"/>
          <w:szCs w:val="24"/>
        </w:rPr>
        <w:t>оперативно</w:t>
      </w:r>
      <w:proofErr w:type="spellEnd"/>
      <w:r w:rsidR="0059491B" w:rsidRPr="00E45422">
        <w:rPr>
          <w:rFonts w:ascii="Times New Roman" w:hAnsi="Times New Roman"/>
          <w:color w:val="000000" w:themeColor="text1"/>
          <w:sz w:val="24"/>
          <w:szCs w:val="24"/>
        </w:rPr>
        <w:t>-господарські санкції” ГКУ – відносини в повній мірі врегульовані положеннями </w:t>
      </w:r>
      <w:hyperlink r:id="rId35" w:anchor="pn2663" w:tgtFrame="_blank" w:history="1">
        <w:r w:rsidR="0059491B" w:rsidRPr="00E45422">
          <w:rPr>
            <w:rStyle w:val="a3"/>
            <w:rFonts w:ascii="Times New Roman" w:hAnsi="Times New Roman"/>
            <w:color w:val="000000" w:themeColor="text1"/>
            <w:sz w:val="24"/>
            <w:szCs w:val="24"/>
            <w:u w:val="none"/>
          </w:rPr>
          <w:t>глав 49</w:t>
        </w:r>
      </w:hyperlink>
      <w:r w:rsidR="0059491B" w:rsidRPr="00E45422">
        <w:rPr>
          <w:rFonts w:ascii="Times New Roman" w:hAnsi="Times New Roman"/>
          <w:color w:val="000000" w:themeColor="text1"/>
          <w:sz w:val="24"/>
          <w:szCs w:val="24"/>
        </w:rPr>
        <w:t>, </w:t>
      </w:r>
      <w:hyperlink r:id="rId36" w:anchor="pn3065" w:tgtFrame="_blank" w:history="1">
        <w:r w:rsidR="0059491B" w:rsidRPr="00E45422">
          <w:rPr>
            <w:rStyle w:val="a3"/>
            <w:rFonts w:ascii="Times New Roman" w:hAnsi="Times New Roman"/>
            <w:color w:val="000000" w:themeColor="text1"/>
            <w:sz w:val="24"/>
            <w:szCs w:val="24"/>
            <w:u w:val="none"/>
          </w:rPr>
          <w:t>52</w:t>
        </w:r>
      </w:hyperlink>
      <w:r w:rsidR="0059491B" w:rsidRPr="00E45422">
        <w:rPr>
          <w:rFonts w:ascii="Times New Roman" w:hAnsi="Times New Roman"/>
          <w:color w:val="000000" w:themeColor="text1"/>
          <w:sz w:val="24"/>
          <w:szCs w:val="24"/>
        </w:rPr>
        <w:t>, </w:t>
      </w:r>
      <w:hyperlink r:id="rId37" w:anchor="pn3128" w:tgtFrame="_blank" w:history="1">
        <w:r w:rsidR="0059491B" w:rsidRPr="00E45422">
          <w:rPr>
            <w:rStyle w:val="a3"/>
            <w:rFonts w:ascii="Times New Roman" w:hAnsi="Times New Roman"/>
            <w:color w:val="000000" w:themeColor="text1"/>
            <w:sz w:val="24"/>
            <w:szCs w:val="24"/>
            <w:u w:val="none"/>
          </w:rPr>
          <w:t>53</w:t>
        </w:r>
      </w:hyperlink>
      <w:r w:rsidR="0059491B" w:rsidRPr="00E45422">
        <w:rPr>
          <w:rFonts w:ascii="Times New Roman" w:hAnsi="Times New Roman"/>
          <w:color w:val="000000" w:themeColor="text1"/>
          <w:sz w:val="24"/>
          <w:szCs w:val="24"/>
        </w:rPr>
        <w:t xml:space="preserve"> ЦКУ. Зокрема, оскільки основним документом, який має визначати види та порядок застосування </w:t>
      </w:r>
      <w:proofErr w:type="spellStart"/>
      <w:r w:rsidR="0059491B" w:rsidRPr="00E45422">
        <w:rPr>
          <w:rFonts w:ascii="Times New Roman" w:hAnsi="Times New Roman"/>
          <w:color w:val="000000" w:themeColor="text1"/>
          <w:sz w:val="24"/>
          <w:szCs w:val="24"/>
        </w:rPr>
        <w:t>оперативно</w:t>
      </w:r>
      <w:proofErr w:type="spellEnd"/>
      <w:r w:rsidR="0059491B" w:rsidRPr="00E45422">
        <w:rPr>
          <w:rFonts w:ascii="Times New Roman" w:hAnsi="Times New Roman"/>
          <w:color w:val="000000" w:themeColor="text1"/>
          <w:sz w:val="24"/>
          <w:szCs w:val="24"/>
        </w:rPr>
        <w:t xml:space="preserve">-господарських санкцій, є саме договір, </w:t>
      </w:r>
      <w:proofErr w:type="spellStart"/>
      <w:r w:rsidR="0059491B" w:rsidRPr="00E45422">
        <w:rPr>
          <w:rFonts w:ascii="Times New Roman" w:hAnsi="Times New Roman"/>
          <w:color w:val="000000" w:themeColor="text1"/>
          <w:sz w:val="24"/>
          <w:szCs w:val="24"/>
        </w:rPr>
        <w:t>юрособи</w:t>
      </w:r>
      <w:proofErr w:type="spellEnd"/>
      <w:r w:rsidR="0059491B" w:rsidRPr="00E45422">
        <w:rPr>
          <w:rFonts w:ascii="Times New Roman" w:hAnsi="Times New Roman"/>
          <w:color w:val="000000" w:themeColor="text1"/>
          <w:sz w:val="24"/>
          <w:szCs w:val="24"/>
        </w:rPr>
        <w:t xml:space="preserve"> можуть передбачити застосування відповідних санкцій у договорах, керуючись </w:t>
      </w:r>
      <w:hyperlink r:id="rId38" w:anchor="st611" w:tgtFrame="_blank" w:history="1">
        <w:r w:rsidR="0059491B" w:rsidRPr="00E45422">
          <w:rPr>
            <w:rStyle w:val="a3"/>
            <w:rFonts w:ascii="Times New Roman" w:hAnsi="Times New Roman"/>
            <w:color w:val="000000" w:themeColor="text1"/>
            <w:sz w:val="24"/>
            <w:szCs w:val="24"/>
            <w:u w:val="none"/>
          </w:rPr>
          <w:t>ст. 611</w:t>
        </w:r>
      </w:hyperlink>
      <w:r w:rsidR="0059491B" w:rsidRPr="00E45422">
        <w:rPr>
          <w:rFonts w:ascii="Times New Roman" w:hAnsi="Times New Roman"/>
          <w:color w:val="000000" w:themeColor="text1"/>
          <w:sz w:val="24"/>
          <w:szCs w:val="24"/>
        </w:rPr>
        <w:t>, </w:t>
      </w:r>
      <w:hyperlink r:id="rId39" w:anchor="st615" w:tgtFrame="_blank" w:history="1">
        <w:r w:rsidR="0059491B" w:rsidRPr="00E45422">
          <w:rPr>
            <w:rStyle w:val="a3"/>
            <w:rFonts w:ascii="Times New Roman" w:hAnsi="Times New Roman"/>
            <w:color w:val="000000" w:themeColor="text1"/>
            <w:sz w:val="24"/>
            <w:szCs w:val="24"/>
            <w:u w:val="none"/>
          </w:rPr>
          <w:t>615</w:t>
        </w:r>
      </w:hyperlink>
      <w:r w:rsidR="0059491B" w:rsidRPr="00E45422">
        <w:rPr>
          <w:rFonts w:ascii="Times New Roman" w:hAnsi="Times New Roman"/>
          <w:color w:val="000000" w:themeColor="text1"/>
          <w:sz w:val="24"/>
          <w:szCs w:val="24"/>
        </w:rPr>
        <w:t>, </w:t>
      </w:r>
      <w:hyperlink r:id="rId40" w:anchor="st627" w:tgtFrame="_blank" w:history="1">
        <w:r w:rsidR="0059491B" w:rsidRPr="00E45422">
          <w:rPr>
            <w:rStyle w:val="a3"/>
            <w:rFonts w:ascii="Times New Roman" w:hAnsi="Times New Roman"/>
            <w:color w:val="000000" w:themeColor="text1"/>
            <w:sz w:val="24"/>
            <w:szCs w:val="24"/>
            <w:u w:val="none"/>
          </w:rPr>
          <w:t>627</w:t>
        </w:r>
      </w:hyperlink>
      <w:r w:rsidR="0059491B" w:rsidRPr="00E45422">
        <w:rPr>
          <w:rFonts w:ascii="Times New Roman" w:hAnsi="Times New Roman"/>
          <w:color w:val="000000" w:themeColor="text1"/>
          <w:sz w:val="24"/>
          <w:szCs w:val="24"/>
        </w:rPr>
        <w:t>, </w:t>
      </w:r>
      <w:hyperlink r:id="rId41" w:anchor="st628" w:tgtFrame="_blank" w:history="1">
        <w:r w:rsidR="0059491B" w:rsidRPr="00E45422">
          <w:rPr>
            <w:rStyle w:val="a3"/>
            <w:rFonts w:ascii="Times New Roman" w:hAnsi="Times New Roman"/>
            <w:color w:val="000000" w:themeColor="text1"/>
            <w:sz w:val="24"/>
            <w:szCs w:val="24"/>
            <w:u w:val="none"/>
          </w:rPr>
          <w:t>628 ЦКУ</w:t>
        </w:r>
      </w:hyperlink>
      <w:r w:rsidR="0059491B" w:rsidRPr="00E45422">
        <w:rPr>
          <w:rFonts w:ascii="Times New Roman" w:hAnsi="Times New Roman"/>
          <w:color w:val="000000" w:themeColor="text1"/>
          <w:sz w:val="24"/>
          <w:szCs w:val="24"/>
        </w:rPr>
        <w:t>.</w:t>
      </w:r>
    </w:p>
    <w:p w14:paraId="3917C4FA" w14:textId="77777777" w:rsidR="0059491B" w:rsidRPr="00E45422" w:rsidRDefault="0059491B" w:rsidP="00E45422">
      <w:pPr>
        <w:pStyle w:val="a5"/>
        <w:shd w:val="clear" w:color="auto" w:fill="FFFFFF"/>
        <w:spacing w:before="0" w:beforeAutospacing="0" w:after="0" w:afterAutospacing="0"/>
        <w:ind w:firstLine="567"/>
        <w:jc w:val="both"/>
        <w:rPr>
          <w:color w:val="000000" w:themeColor="text1"/>
        </w:rPr>
      </w:pPr>
      <w:r w:rsidRPr="00E45422">
        <w:rPr>
          <w:color w:val="000000" w:themeColor="text1"/>
        </w:rPr>
        <w:t> </w:t>
      </w:r>
    </w:p>
    <w:p w14:paraId="5E8D4103" w14:textId="7F0EE9C8" w:rsidR="009F708F" w:rsidRPr="00E45422" w:rsidRDefault="009F708F" w:rsidP="00715207">
      <w:pPr>
        <w:spacing w:after="0" w:line="240" w:lineRule="auto"/>
        <w:ind w:firstLine="567"/>
        <w:jc w:val="center"/>
        <w:rPr>
          <w:rFonts w:ascii="Times New Roman" w:hAnsi="Times New Roman"/>
          <w:b/>
          <w:color w:val="000000" w:themeColor="text1"/>
          <w:sz w:val="24"/>
          <w:szCs w:val="24"/>
        </w:rPr>
      </w:pPr>
      <w:r w:rsidRPr="00E45422">
        <w:rPr>
          <w:rFonts w:ascii="Times New Roman" w:hAnsi="Times New Roman"/>
          <w:b/>
          <w:color w:val="000000" w:themeColor="text1"/>
          <w:sz w:val="24"/>
          <w:szCs w:val="24"/>
        </w:rPr>
        <w:t>РІЗНЕ</w:t>
      </w:r>
    </w:p>
    <w:p w14:paraId="1CDA2024" w14:textId="64A8FA42" w:rsidR="00E45422" w:rsidRPr="00E45422" w:rsidRDefault="00E45422" w:rsidP="00E45422">
      <w:pPr>
        <w:pStyle w:val="a4"/>
        <w:ind w:firstLine="567"/>
        <w:jc w:val="center"/>
        <w:rPr>
          <w:rFonts w:ascii="Times New Roman" w:hAnsi="Times New Roman"/>
          <w:b/>
          <w:color w:val="000000" w:themeColor="text1"/>
          <w:sz w:val="24"/>
          <w:szCs w:val="24"/>
        </w:rPr>
      </w:pPr>
      <w:r w:rsidRPr="00E45422">
        <w:rPr>
          <w:rFonts w:ascii="Times New Roman" w:hAnsi="Times New Roman"/>
          <w:b/>
          <w:color w:val="000000" w:themeColor="text1"/>
          <w:sz w:val="24"/>
          <w:szCs w:val="24"/>
        </w:rPr>
        <w:t>ЗАКОН:ОСНОВНЕ 4536 (набирає чинності 1 жовтня 2025 року, окрім</w:t>
      </w:r>
    </w:p>
    <w:p w14:paraId="770FBC99" w14:textId="77777777" w:rsidR="00E45422" w:rsidRPr="00E45422" w:rsidRDefault="00E45422" w:rsidP="00E45422">
      <w:pPr>
        <w:pStyle w:val="a4"/>
        <w:ind w:firstLine="567"/>
        <w:jc w:val="center"/>
        <w:rPr>
          <w:rFonts w:ascii="Times New Roman" w:hAnsi="Times New Roman"/>
          <w:b/>
          <w:color w:val="000000" w:themeColor="text1"/>
          <w:sz w:val="24"/>
          <w:szCs w:val="24"/>
        </w:rPr>
      </w:pPr>
      <w:r w:rsidRPr="00E45422">
        <w:rPr>
          <w:rFonts w:ascii="Times New Roman" w:hAnsi="Times New Roman"/>
          <w:b/>
          <w:color w:val="000000" w:themeColor="text1"/>
          <w:sz w:val="24"/>
          <w:szCs w:val="24"/>
        </w:rPr>
        <w:t>окремих положень).</w:t>
      </w:r>
    </w:p>
    <w:p w14:paraId="31C32A46" w14:textId="77777777" w:rsidR="00E45422" w:rsidRPr="00E45422" w:rsidRDefault="00E45422" w:rsidP="00E45422">
      <w:pPr>
        <w:pStyle w:val="a4"/>
        <w:ind w:firstLine="567"/>
        <w:jc w:val="both"/>
        <w:rPr>
          <w:rFonts w:ascii="Times New Roman" w:hAnsi="Times New Roman"/>
          <w:color w:val="000000" w:themeColor="text1"/>
          <w:sz w:val="24"/>
          <w:szCs w:val="24"/>
        </w:rPr>
      </w:pPr>
    </w:p>
    <w:p w14:paraId="2739A077" w14:textId="29539756"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1</w:t>
      </w:r>
      <w:r w:rsidRPr="00E45422">
        <w:rPr>
          <w:rFonts w:ascii="Times New Roman" w:hAnsi="Times New Roman"/>
          <w:b/>
          <w:color w:val="000000" w:themeColor="text1"/>
          <w:sz w:val="24"/>
          <w:szCs w:val="24"/>
        </w:rPr>
        <w:t xml:space="preserve">.Перша зміна це повернення для </w:t>
      </w:r>
      <w:proofErr w:type="spellStart"/>
      <w:r w:rsidRPr="00E45422">
        <w:rPr>
          <w:rFonts w:ascii="Times New Roman" w:hAnsi="Times New Roman"/>
          <w:b/>
          <w:color w:val="000000" w:themeColor="text1"/>
          <w:sz w:val="24"/>
          <w:szCs w:val="24"/>
        </w:rPr>
        <w:t>ФОПів</w:t>
      </w:r>
      <w:proofErr w:type="spellEnd"/>
      <w:r w:rsidRPr="00E45422">
        <w:rPr>
          <w:rFonts w:ascii="Times New Roman" w:hAnsi="Times New Roman"/>
          <w:b/>
          <w:color w:val="000000" w:themeColor="text1"/>
          <w:sz w:val="24"/>
          <w:szCs w:val="24"/>
        </w:rPr>
        <w:t xml:space="preserve"> та </w:t>
      </w:r>
      <w:proofErr w:type="spellStart"/>
      <w:r w:rsidRPr="00E45422">
        <w:rPr>
          <w:rFonts w:ascii="Times New Roman" w:hAnsi="Times New Roman"/>
          <w:b/>
          <w:color w:val="000000" w:themeColor="text1"/>
          <w:sz w:val="24"/>
          <w:szCs w:val="24"/>
        </w:rPr>
        <w:t>фізосіб</w:t>
      </w:r>
      <w:proofErr w:type="spellEnd"/>
      <w:r w:rsidRPr="00E45422">
        <w:rPr>
          <w:rFonts w:ascii="Times New Roman" w:hAnsi="Times New Roman"/>
          <w:b/>
          <w:color w:val="000000" w:themeColor="text1"/>
          <w:sz w:val="24"/>
          <w:szCs w:val="24"/>
        </w:rPr>
        <w:t>-«незалежників</w:t>
      </w:r>
      <w:r w:rsidRPr="00E45422">
        <w:rPr>
          <w:rFonts w:ascii="Times New Roman" w:hAnsi="Times New Roman"/>
          <w:color w:val="000000" w:themeColor="text1"/>
          <w:sz w:val="24"/>
          <w:szCs w:val="24"/>
        </w:rPr>
        <w:t>» </w:t>
      </w:r>
      <w:r w:rsidRPr="00E45422">
        <w:rPr>
          <w:rStyle w:val="a6"/>
          <w:rFonts w:ascii="Times New Roman" w:hAnsi="Times New Roman"/>
          <w:color w:val="000000" w:themeColor="text1"/>
          <w:sz w:val="24"/>
          <w:szCs w:val="24"/>
        </w:rPr>
        <w:t>квартального звітного періоду</w:t>
      </w:r>
      <w:r w:rsidRPr="00E45422">
        <w:rPr>
          <w:rFonts w:ascii="Times New Roman" w:hAnsi="Times New Roman"/>
          <w:color w:val="000000" w:themeColor="text1"/>
          <w:sz w:val="24"/>
          <w:szCs w:val="24"/>
        </w:rPr>
        <w:t> для складання та подання єдиної звітності з ЄСВ, ПДФО та ВЗ. Такі зміни звітування почнуть діяти </w:t>
      </w:r>
      <w:r w:rsidRPr="00E45422">
        <w:rPr>
          <w:rStyle w:val="a6"/>
          <w:rFonts w:ascii="Times New Roman" w:hAnsi="Times New Roman"/>
          <w:color w:val="000000" w:themeColor="text1"/>
          <w:sz w:val="24"/>
          <w:szCs w:val="24"/>
        </w:rPr>
        <w:t>тільки з 1 січня 2026 року</w:t>
      </w:r>
      <w:r w:rsidRPr="00E45422">
        <w:rPr>
          <w:rFonts w:ascii="Times New Roman" w:hAnsi="Times New Roman"/>
          <w:color w:val="000000" w:themeColor="text1"/>
          <w:sz w:val="24"/>
          <w:szCs w:val="24"/>
        </w:rPr>
        <w:t>!  Протягом 2025 року строки звітування з ПДФО, ВЗ та ЄСВ залишаються незмінними. </w:t>
      </w:r>
    </w:p>
    <w:p w14:paraId="68CDB152" w14:textId="416BBEF3"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 xml:space="preserve"> Для юридичних осіб з</w:t>
      </w:r>
      <w:r w:rsidRPr="00E45422">
        <w:rPr>
          <w:rFonts w:ascii="Times New Roman" w:hAnsi="Times New Roman"/>
          <w:color w:val="000000" w:themeColor="text1"/>
          <w:sz w:val="24"/>
          <w:szCs w:val="24"/>
        </w:rPr>
        <w:t>а оновленим </w:t>
      </w:r>
      <w:hyperlink r:id="rId42" w:anchor="pn2349" w:tgtFrame="_blank" w:history="1">
        <w:r w:rsidRPr="00E45422">
          <w:rPr>
            <w:rStyle w:val="a3"/>
            <w:rFonts w:ascii="Times New Roman" w:hAnsi="Times New Roman"/>
            <w:color w:val="000000" w:themeColor="text1"/>
            <w:sz w:val="24"/>
            <w:szCs w:val="24"/>
            <w:u w:val="none"/>
          </w:rPr>
          <w:t>п. 51.1 ПКУ</w:t>
        </w:r>
      </w:hyperlink>
      <w:r w:rsidRPr="00E45422">
        <w:rPr>
          <w:rFonts w:ascii="Times New Roman" w:hAnsi="Times New Roman"/>
          <w:color w:val="000000" w:themeColor="text1"/>
          <w:sz w:val="24"/>
          <w:szCs w:val="24"/>
        </w:rPr>
        <w:t>  залишається місячна</w:t>
      </w:r>
      <w:r w:rsidRPr="00E45422">
        <w:rPr>
          <w:rStyle w:val="a6"/>
          <w:rFonts w:ascii="Times New Roman" w:hAnsi="Times New Roman"/>
          <w:color w:val="000000" w:themeColor="text1"/>
          <w:sz w:val="24"/>
          <w:szCs w:val="24"/>
        </w:rPr>
        <w:t>.</w:t>
      </w:r>
    </w:p>
    <w:p w14:paraId="36188A8E" w14:textId="6D5B90DC"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Відповідне розмежування щодо строку зі звітування з ПДФО, ВЗ та ЄСВ буде прописано в </w:t>
      </w:r>
      <w:proofErr w:type="spellStart"/>
      <w:r w:rsidRPr="00E45422">
        <w:rPr>
          <w:rFonts w:ascii="Times New Roman" w:hAnsi="Times New Roman"/>
          <w:color w:val="000000" w:themeColor="text1"/>
          <w:sz w:val="24"/>
          <w:szCs w:val="24"/>
        </w:rPr>
        <w:fldChar w:fldCharType="begin"/>
      </w:r>
      <w:r w:rsidRPr="00E45422">
        <w:rPr>
          <w:rFonts w:ascii="Times New Roman" w:hAnsi="Times New Roman"/>
          <w:color w:val="000000" w:themeColor="text1"/>
          <w:sz w:val="24"/>
          <w:szCs w:val="24"/>
        </w:rPr>
        <w:instrText xml:space="preserve"> HYPERLINK "https://docs.dtkt.ua/doc/1011.47.292?page=20" \l "pn2826" \t "_blank" </w:instrText>
      </w:r>
      <w:r w:rsidRPr="00E45422">
        <w:rPr>
          <w:rFonts w:ascii="Times New Roman" w:hAnsi="Times New Roman"/>
          <w:color w:val="000000" w:themeColor="text1"/>
          <w:sz w:val="24"/>
          <w:szCs w:val="24"/>
        </w:rPr>
        <w:fldChar w:fldCharType="separate"/>
      </w:r>
      <w:r w:rsidRPr="00E45422">
        <w:rPr>
          <w:rStyle w:val="a3"/>
          <w:rFonts w:ascii="Times New Roman" w:hAnsi="Times New Roman"/>
          <w:color w:val="000000" w:themeColor="text1"/>
          <w:sz w:val="24"/>
          <w:szCs w:val="24"/>
          <w:u w:val="none"/>
        </w:rPr>
        <w:t>пп</w:t>
      </w:r>
      <w:proofErr w:type="spellEnd"/>
      <w:r w:rsidRPr="00E45422">
        <w:rPr>
          <w:rStyle w:val="a3"/>
          <w:rFonts w:ascii="Times New Roman" w:hAnsi="Times New Roman"/>
          <w:color w:val="000000" w:themeColor="text1"/>
          <w:sz w:val="24"/>
          <w:szCs w:val="24"/>
          <w:u w:val="none"/>
        </w:rPr>
        <w:t>. 70.16.1 ПКУ</w:t>
      </w:r>
      <w:r w:rsidRPr="00E45422">
        <w:rPr>
          <w:rFonts w:ascii="Times New Roman" w:hAnsi="Times New Roman"/>
          <w:color w:val="000000" w:themeColor="text1"/>
          <w:sz w:val="24"/>
          <w:szCs w:val="24"/>
        </w:rPr>
        <w:fldChar w:fldCharType="end"/>
      </w:r>
      <w:r w:rsidRPr="00E45422">
        <w:rPr>
          <w:rFonts w:ascii="Times New Roman" w:hAnsi="Times New Roman"/>
          <w:color w:val="000000" w:themeColor="text1"/>
          <w:sz w:val="24"/>
          <w:szCs w:val="24"/>
        </w:rPr>
        <w:t xml:space="preserve"> та в </w:t>
      </w:r>
      <w:proofErr w:type="spellStart"/>
      <w:r w:rsidRPr="00E45422">
        <w:rPr>
          <w:rFonts w:ascii="Times New Roman" w:hAnsi="Times New Roman"/>
          <w:color w:val="000000" w:themeColor="text1"/>
          <w:sz w:val="24"/>
          <w:szCs w:val="24"/>
        </w:rPr>
        <w:t>абз</w:t>
      </w:r>
      <w:proofErr w:type="spellEnd"/>
      <w:r w:rsidRPr="00E45422">
        <w:rPr>
          <w:rFonts w:ascii="Times New Roman" w:hAnsi="Times New Roman"/>
          <w:color w:val="000000" w:themeColor="text1"/>
          <w:sz w:val="24"/>
          <w:szCs w:val="24"/>
        </w:rPr>
        <w:t>. 1 </w:t>
      </w:r>
      <w:proofErr w:type="spellStart"/>
      <w:r w:rsidRPr="00E45422">
        <w:rPr>
          <w:rFonts w:ascii="Times New Roman" w:hAnsi="Times New Roman"/>
          <w:color w:val="000000" w:themeColor="text1"/>
          <w:sz w:val="24"/>
          <w:szCs w:val="24"/>
        </w:rPr>
        <w:fldChar w:fldCharType="begin"/>
      </w:r>
      <w:r w:rsidRPr="00E45422">
        <w:rPr>
          <w:rFonts w:ascii="Times New Roman" w:hAnsi="Times New Roman"/>
          <w:color w:val="000000" w:themeColor="text1"/>
          <w:sz w:val="24"/>
          <w:szCs w:val="24"/>
        </w:rPr>
        <w:instrText xml:space="preserve"> HYPERLINK "https://docs.dtkt.ua/doc/1011.47.292?page=40" \l "pn5662" \t "_blank" </w:instrText>
      </w:r>
      <w:r w:rsidRPr="00E45422">
        <w:rPr>
          <w:rFonts w:ascii="Times New Roman" w:hAnsi="Times New Roman"/>
          <w:color w:val="000000" w:themeColor="text1"/>
          <w:sz w:val="24"/>
          <w:szCs w:val="24"/>
        </w:rPr>
        <w:fldChar w:fldCharType="separate"/>
      </w:r>
      <w:r w:rsidRPr="00E45422">
        <w:rPr>
          <w:rStyle w:val="a3"/>
          <w:rFonts w:ascii="Times New Roman" w:hAnsi="Times New Roman"/>
          <w:color w:val="000000" w:themeColor="text1"/>
          <w:sz w:val="24"/>
          <w:szCs w:val="24"/>
          <w:u w:val="none"/>
        </w:rPr>
        <w:t>пп</w:t>
      </w:r>
      <w:proofErr w:type="spellEnd"/>
      <w:r w:rsidRPr="00E45422">
        <w:rPr>
          <w:rStyle w:val="a3"/>
          <w:rFonts w:ascii="Times New Roman" w:hAnsi="Times New Roman"/>
          <w:color w:val="000000" w:themeColor="text1"/>
          <w:sz w:val="24"/>
          <w:szCs w:val="24"/>
          <w:u w:val="none"/>
        </w:rPr>
        <w:t>. «б» п. 176.2 ПКУ</w:t>
      </w:r>
      <w:r w:rsidRPr="00E45422">
        <w:rPr>
          <w:rFonts w:ascii="Times New Roman" w:hAnsi="Times New Roman"/>
          <w:color w:val="000000" w:themeColor="text1"/>
          <w:sz w:val="24"/>
          <w:szCs w:val="24"/>
        </w:rPr>
        <w:fldChar w:fldCharType="end"/>
      </w:r>
      <w:r w:rsidRPr="00E45422">
        <w:rPr>
          <w:rFonts w:ascii="Times New Roman" w:hAnsi="Times New Roman"/>
          <w:color w:val="000000" w:themeColor="text1"/>
          <w:sz w:val="24"/>
          <w:szCs w:val="24"/>
        </w:rPr>
        <w:t>.</w:t>
      </w:r>
    </w:p>
    <w:p w14:paraId="1275F675" w14:textId="0429C4F5" w:rsidR="00E45422" w:rsidRPr="00715207" w:rsidRDefault="00E45422" w:rsidP="00E45422">
      <w:pPr>
        <w:pStyle w:val="a4"/>
        <w:ind w:firstLine="567"/>
        <w:jc w:val="both"/>
        <w:rPr>
          <w:rFonts w:ascii="Times New Roman" w:hAnsi="Times New Roman"/>
          <w:i/>
          <w:iCs/>
          <w:color w:val="000000" w:themeColor="text1"/>
          <w:sz w:val="24"/>
          <w:szCs w:val="24"/>
        </w:rPr>
      </w:pPr>
      <w:r w:rsidRPr="00E45422">
        <w:rPr>
          <w:rStyle w:val="a6"/>
          <w:rFonts w:ascii="Times New Roman" w:hAnsi="Times New Roman"/>
          <w:color w:val="000000" w:themeColor="text1"/>
          <w:sz w:val="24"/>
          <w:szCs w:val="24"/>
        </w:rPr>
        <w:t xml:space="preserve"> Зміни у звітуванні приватних нотаріусів і </w:t>
      </w:r>
      <w:proofErr w:type="spellStart"/>
      <w:r w:rsidRPr="00E45422">
        <w:rPr>
          <w:rStyle w:val="a6"/>
          <w:rFonts w:ascii="Times New Roman" w:hAnsi="Times New Roman"/>
          <w:color w:val="000000" w:themeColor="text1"/>
          <w:sz w:val="24"/>
          <w:szCs w:val="24"/>
        </w:rPr>
        <w:t>ФОПів</w:t>
      </w:r>
      <w:proofErr w:type="spellEnd"/>
      <w:r w:rsidRPr="00E45422">
        <w:rPr>
          <w:rStyle w:val="a6"/>
          <w:rFonts w:ascii="Times New Roman" w:hAnsi="Times New Roman"/>
          <w:color w:val="000000" w:themeColor="text1"/>
          <w:sz w:val="24"/>
          <w:szCs w:val="24"/>
        </w:rPr>
        <w:t xml:space="preserve">-оцінщиків. </w:t>
      </w:r>
      <w:r w:rsidRPr="00E45422">
        <w:rPr>
          <w:rFonts w:ascii="Times New Roman" w:hAnsi="Times New Roman"/>
          <w:color w:val="000000" w:themeColor="text1"/>
          <w:sz w:val="24"/>
          <w:szCs w:val="24"/>
        </w:rPr>
        <w:t>Також з </w:t>
      </w:r>
      <w:r w:rsidRPr="00E45422">
        <w:rPr>
          <w:rStyle w:val="a6"/>
          <w:rFonts w:ascii="Times New Roman" w:hAnsi="Times New Roman"/>
          <w:color w:val="000000" w:themeColor="text1"/>
          <w:sz w:val="24"/>
          <w:szCs w:val="24"/>
        </w:rPr>
        <w:t>1 січня 2026 року</w:t>
      </w:r>
      <w:r w:rsidRPr="00E45422">
        <w:rPr>
          <w:rFonts w:ascii="Times New Roman" w:hAnsi="Times New Roman"/>
          <w:color w:val="000000" w:themeColor="text1"/>
          <w:sz w:val="24"/>
          <w:szCs w:val="24"/>
        </w:rPr>
        <w:t> почне діяти нова редакція </w:t>
      </w:r>
      <w:proofErr w:type="spellStart"/>
      <w:r w:rsidRPr="00E45422">
        <w:rPr>
          <w:rFonts w:ascii="Times New Roman" w:hAnsi="Times New Roman"/>
          <w:color w:val="000000" w:themeColor="text1"/>
          <w:sz w:val="24"/>
          <w:szCs w:val="24"/>
        </w:rPr>
        <w:fldChar w:fldCharType="begin"/>
      </w:r>
      <w:r w:rsidRPr="00E45422">
        <w:rPr>
          <w:rFonts w:ascii="Times New Roman" w:hAnsi="Times New Roman"/>
          <w:color w:val="000000" w:themeColor="text1"/>
          <w:sz w:val="24"/>
          <w:szCs w:val="24"/>
        </w:rPr>
        <w:instrText xml:space="preserve"> HYPERLINK "https://docs.dtkt.ua/doc/1011.47.292?page=39" \l "pn5563" \t "_blank" </w:instrText>
      </w:r>
      <w:r w:rsidRPr="00E45422">
        <w:rPr>
          <w:rFonts w:ascii="Times New Roman" w:hAnsi="Times New Roman"/>
          <w:color w:val="000000" w:themeColor="text1"/>
          <w:sz w:val="24"/>
          <w:szCs w:val="24"/>
        </w:rPr>
        <w:fldChar w:fldCharType="separate"/>
      </w:r>
      <w:r w:rsidRPr="00E45422">
        <w:rPr>
          <w:rStyle w:val="a3"/>
          <w:rFonts w:ascii="Times New Roman" w:hAnsi="Times New Roman"/>
          <w:color w:val="000000" w:themeColor="text1"/>
          <w:sz w:val="24"/>
          <w:szCs w:val="24"/>
          <w:u w:val="none"/>
        </w:rPr>
        <w:t>абз</w:t>
      </w:r>
      <w:proofErr w:type="spellEnd"/>
      <w:r w:rsidRPr="00E45422">
        <w:rPr>
          <w:rStyle w:val="a3"/>
          <w:rFonts w:ascii="Times New Roman" w:hAnsi="Times New Roman"/>
          <w:color w:val="000000" w:themeColor="text1"/>
          <w:sz w:val="24"/>
          <w:szCs w:val="24"/>
          <w:u w:val="none"/>
        </w:rPr>
        <w:t>. 2 п. 172.4 ПКУ</w:t>
      </w:r>
      <w:r w:rsidRPr="00E45422">
        <w:rPr>
          <w:rFonts w:ascii="Times New Roman" w:hAnsi="Times New Roman"/>
          <w:color w:val="000000" w:themeColor="text1"/>
          <w:sz w:val="24"/>
          <w:szCs w:val="24"/>
        </w:rPr>
        <w:fldChar w:fldCharType="end"/>
      </w:r>
      <w:r w:rsidRPr="00E45422">
        <w:rPr>
          <w:rFonts w:ascii="Times New Roman" w:hAnsi="Times New Roman"/>
          <w:color w:val="000000" w:themeColor="text1"/>
          <w:sz w:val="24"/>
          <w:szCs w:val="24"/>
        </w:rPr>
        <w:t>. За нею державний нотаріус (державна нотаріальна контора) щомісяця, а приватний нотаріус </w:t>
      </w:r>
      <w:r w:rsidRPr="00E45422">
        <w:rPr>
          <w:rStyle w:val="a6"/>
          <w:rFonts w:ascii="Times New Roman" w:hAnsi="Times New Roman"/>
          <w:color w:val="000000" w:themeColor="text1"/>
          <w:sz w:val="24"/>
          <w:szCs w:val="24"/>
        </w:rPr>
        <w:t>щокварталу</w:t>
      </w:r>
      <w:r w:rsidRPr="00E45422">
        <w:rPr>
          <w:rFonts w:ascii="Times New Roman" w:hAnsi="Times New Roman"/>
          <w:color w:val="000000" w:themeColor="text1"/>
          <w:sz w:val="24"/>
          <w:szCs w:val="24"/>
        </w:rPr>
        <w:t>  подають до контролюючого органу за місцем їх розташування інформацію з  відомостями про посвідчені державними нотаріусами протягом звітного місяця, а приватними нотаріусами протягом звітного кварталу (з розбивкою по місяцях звітного кварталу) </w:t>
      </w:r>
      <w:r w:rsidRPr="00E45422">
        <w:rPr>
          <w:rStyle w:val="a6"/>
          <w:rFonts w:ascii="Times New Roman" w:hAnsi="Times New Roman"/>
          <w:color w:val="000000" w:themeColor="text1"/>
          <w:sz w:val="24"/>
          <w:szCs w:val="24"/>
        </w:rPr>
        <w:t>договори купівлі-продажу (міни) між фізичними особами</w:t>
      </w:r>
      <w:r w:rsidRPr="00E45422">
        <w:rPr>
          <w:rFonts w:ascii="Times New Roman" w:hAnsi="Times New Roman"/>
          <w:color w:val="000000" w:themeColor="text1"/>
          <w:sz w:val="24"/>
          <w:szCs w:val="24"/>
        </w:rPr>
        <w:t>, включаючи інформацію, передбачену єдиною звітністю з ПДФО, ВЗ та ЄСВ, у тому числі ціну (вартість) договорів та суму сплаченого ПДФО у розрізі кожного договору.</w:t>
      </w:r>
      <w:r w:rsidR="00715207">
        <w:rPr>
          <w:rFonts w:ascii="Times New Roman" w:hAnsi="Times New Roman"/>
          <w:color w:val="000000" w:themeColor="text1"/>
          <w:sz w:val="24"/>
          <w:szCs w:val="24"/>
        </w:rPr>
        <w:t xml:space="preserve"> </w:t>
      </w:r>
      <w:r w:rsidRPr="00715207">
        <w:rPr>
          <w:rFonts w:ascii="Times New Roman" w:hAnsi="Times New Roman"/>
          <w:i/>
          <w:iCs/>
          <w:color w:val="000000" w:themeColor="text1"/>
          <w:sz w:val="24"/>
          <w:szCs w:val="24"/>
        </w:rPr>
        <w:t xml:space="preserve">З 1 січня 2026 року для </w:t>
      </w:r>
      <w:proofErr w:type="spellStart"/>
      <w:r w:rsidRPr="00715207">
        <w:rPr>
          <w:rFonts w:ascii="Times New Roman" w:hAnsi="Times New Roman"/>
          <w:i/>
          <w:iCs/>
          <w:color w:val="000000" w:themeColor="text1"/>
          <w:sz w:val="24"/>
          <w:szCs w:val="24"/>
        </w:rPr>
        <w:t>ФОПів</w:t>
      </w:r>
      <w:proofErr w:type="spellEnd"/>
      <w:r w:rsidRPr="00715207">
        <w:rPr>
          <w:rFonts w:ascii="Times New Roman" w:hAnsi="Times New Roman"/>
          <w:i/>
          <w:iCs/>
          <w:color w:val="000000" w:themeColor="text1"/>
          <w:sz w:val="24"/>
          <w:szCs w:val="24"/>
        </w:rPr>
        <w:t>-оцінщиків буде запроваджено окремий звітний період: квартал замість місяця. </w:t>
      </w:r>
    </w:p>
    <w:p w14:paraId="119C1ED1" w14:textId="7FDC875A"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 xml:space="preserve"> 2. Податкова знижка на оренду житла для ВПО і ветеранів</w:t>
      </w:r>
    </w:p>
    <w:p w14:paraId="2D56E3AF" w14:textId="77777777"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Податковій знижці підлягатиме за оновленою нормою </w:t>
      </w:r>
      <w:proofErr w:type="spellStart"/>
      <w:r w:rsidRPr="00E45422">
        <w:rPr>
          <w:rFonts w:ascii="Times New Roman" w:hAnsi="Times New Roman"/>
          <w:color w:val="000000" w:themeColor="text1"/>
          <w:sz w:val="24"/>
          <w:szCs w:val="24"/>
        </w:rPr>
        <w:fldChar w:fldCharType="begin"/>
      </w:r>
      <w:r w:rsidRPr="00E45422">
        <w:rPr>
          <w:rFonts w:ascii="Times New Roman" w:hAnsi="Times New Roman"/>
          <w:color w:val="000000" w:themeColor="text1"/>
          <w:sz w:val="24"/>
          <w:szCs w:val="24"/>
        </w:rPr>
        <w:instrText xml:space="preserve"> HYPERLINK "https://docs.dtkt.ua/doc/1011.47.292?page=36" \l "pn5087" \t "_blank" </w:instrText>
      </w:r>
      <w:r w:rsidRPr="00E45422">
        <w:rPr>
          <w:rFonts w:ascii="Times New Roman" w:hAnsi="Times New Roman"/>
          <w:color w:val="000000" w:themeColor="text1"/>
          <w:sz w:val="24"/>
          <w:szCs w:val="24"/>
        </w:rPr>
        <w:fldChar w:fldCharType="separate"/>
      </w:r>
      <w:r w:rsidRPr="00E45422">
        <w:rPr>
          <w:rStyle w:val="a3"/>
          <w:rFonts w:ascii="Times New Roman" w:hAnsi="Times New Roman"/>
          <w:color w:val="000000" w:themeColor="text1"/>
          <w:sz w:val="24"/>
          <w:szCs w:val="24"/>
          <w:u w:val="none"/>
        </w:rPr>
        <w:t>пп</w:t>
      </w:r>
      <w:proofErr w:type="spellEnd"/>
      <w:r w:rsidRPr="00E45422">
        <w:rPr>
          <w:rStyle w:val="a3"/>
          <w:rFonts w:ascii="Times New Roman" w:hAnsi="Times New Roman"/>
          <w:color w:val="000000" w:themeColor="text1"/>
          <w:sz w:val="24"/>
          <w:szCs w:val="24"/>
          <w:u w:val="none"/>
        </w:rPr>
        <w:t>. 166.3.9 ПКУ</w:t>
      </w:r>
      <w:r w:rsidRPr="00E45422">
        <w:rPr>
          <w:rFonts w:ascii="Times New Roman" w:hAnsi="Times New Roman"/>
          <w:color w:val="000000" w:themeColor="text1"/>
          <w:sz w:val="24"/>
          <w:szCs w:val="24"/>
        </w:rPr>
        <w:fldChar w:fldCharType="end"/>
      </w:r>
      <w:r w:rsidRPr="00E45422">
        <w:rPr>
          <w:rFonts w:ascii="Times New Roman" w:hAnsi="Times New Roman"/>
          <w:color w:val="000000" w:themeColor="text1"/>
          <w:sz w:val="24"/>
          <w:szCs w:val="24"/>
        </w:rPr>
        <w:t> сума коштів у вигляді орендної плати за договором оренди житла (квартири, будинку), оформленим відповідно до вимог чинного законодавства, фактично сплачених не тільки ВПО, але й </w:t>
      </w:r>
      <w:r w:rsidRPr="00E45422">
        <w:rPr>
          <w:rStyle w:val="a6"/>
          <w:rFonts w:ascii="Times New Roman" w:hAnsi="Times New Roman"/>
          <w:color w:val="000000" w:themeColor="text1"/>
          <w:sz w:val="24"/>
          <w:szCs w:val="24"/>
        </w:rPr>
        <w:t>учасниками бойових дій </w:t>
      </w:r>
      <w:r w:rsidRPr="00E45422">
        <w:rPr>
          <w:rFonts w:ascii="Times New Roman" w:hAnsi="Times New Roman"/>
          <w:color w:val="000000" w:themeColor="text1"/>
          <w:sz w:val="24"/>
          <w:szCs w:val="24"/>
        </w:rPr>
        <w:t>або</w:t>
      </w:r>
      <w:r w:rsidRPr="00E45422">
        <w:rPr>
          <w:rStyle w:val="a6"/>
          <w:rFonts w:ascii="Times New Roman" w:hAnsi="Times New Roman"/>
          <w:color w:val="000000" w:themeColor="text1"/>
          <w:sz w:val="24"/>
          <w:szCs w:val="24"/>
        </w:rPr>
        <w:t> осіб з інвалідністю внаслідок війни</w:t>
      </w:r>
      <w:r w:rsidRPr="00E45422">
        <w:rPr>
          <w:rFonts w:ascii="Times New Roman" w:hAnsi="Times New Roman"/>
          <w:color w:val="000000" w:themeColor="text1"/>
          <w:sz w:val="24"/>
          <w:szCs w:val="24"/>
        </w:rPr>
        <w:t>.</w:t>
      </w:r>
    </w:p>
    <w:p w14:paraId="6162D101" w14:textId="6809FD40"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w:t>
      </w:r>
      <w:r w:rsidRPr="00E45422">
        <w:rPr>
          <w:rStyle w:val="a6"/>
          <w:rFonts w:ascii="Times New Roman" w:hAnsi="Times New Roman"/>
          <w:color w:val="000000" w:themeColor="text1"/>
          <w:sz w:val="24"/>
          <w:szCs w:val="24"/>
        </w:rPr>
        <w:t>3.Зміни в оподаткуванні єдиним податком</w:t>
      </w:r>
      <w:r w:rsidRPr="00E45422">
        <w:rPr>
          <w:rFonts w:ascii="Times New Roman" w:hAnsi="Times New Roman"/>
          <w:color w:val="000000" w:themeColor="text1"/>
          <w:sz w:val="24"/>
          <w:szCs w:val="24"/>
        </w:rPr>
        <w:t> </w:t>
      </w:r>
      <w:r w:rsidRPr="00E45422">
        <w:rPr>
          <w:rStyle w:val="a6"/>
          <w:rFonts w:ascii="Times New Roman" w:hAnsi="Times New Roman"/>
          <w:color w:val="000000" w:themeColor="text1"/>
          <w:sz w:val="24"/>
          <w:szCs w:val="24"/>
        </w:rPr>
        <w:t>для ФОП платників ЄП 4 групи</w:t>
      </w:r>
    </w:p>
    <w:p w14:paraId="26F907E1" w14:textId="6693C4A4"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В новій редакції викладено </w:t>
      </w:r>
      <w:hyperlink r:id="rId43" w:anchor="pn10076" w:tgtFrame="_blank" w:history="1">
        <w:proofErr w:type="spellStart"/>
        <w:r w:rsidRPr="00E45422">
          <w:rPr>
            <w:rStyle w:val="a3"/>
            <w:rFonts w:ascii="Times New Roman" w:hAnsi="Times New Roman"/>
            <w:color w:val="000000" w:themeColor="text1"/>
            <w:sz w:val="24"/>
            <w:szCs w:val="24"/>
            <w:u w:val="none"/>
          </w:rPr>
          <w:t>пп</w:t>
        </w:r>
        <w:proofErr w:type="spellEnd"/>
        <w:r w:rsidRPr="00E45422">
          <w:rPr>
            <w:rStyle w:val="a3"/>
            <w:rFonts w:ascii="Times New Roman" w:hAnsi="Times New Roman"/>
            <w:color w:val="000000" w:themeColor="text1"/>
            <w:sz w:val="24"/>
            <w:szCs w:val="24"/>
            <w:u w:val="none"/>
          </w:rPr>
          <w:t>. 295.9.6</w:t>
        </w:r>
      </w:hyperlink>
      <w:r w:rsidRPr="00E45422">
        <w:rPr>
          <w:rFonts w:ascii="Times New Roman" w:hAnsi="Times New Roman"/>
          <w:color w:val="000000" w:themeColor="text1"/>
          <w:sz w:val="24"/>
          <w:szCs w:val="24"/>
        </w:rPr>
        <w:t> і </w:t>
      </w:r>
      <w:hyperlink r:id="rId44" w:anchor="pn10077" w:tgtFrame="_blank" w:history="1">
        <w:r w:rsidRPr="00E45422">
          <w:rPr>
            <w:rStyle w:val="a3"/>
            <w:rFonts w:ascii="Times New Roman" w:hAnsi="Times New Roman"/>
            <w:color w:val="000000" w:themeColor="text1"/>
            <w:sz w:val="24"/>
            <w:szCs w:val="24"/>
            <w:u w:val="none"/>
          </w:rPr>
          <w:t>295.9.7 ПКУ</w:t>
        </w:r>
      </w:hyperlink>
      <w:r w:rsidRPr="00E45422">
        <w:rPr>
          <w:rFonts w:ascii="Times New Roman" w:hAnsi="Times New Roman"/>
          <w:color w:val="000000" w:themeColor="text1"/>
          <w:sz w:val="24"/>
          <w:szCs w:val="24"/>
        </w:rPr>
        <w:t xml:space="preserve">. Про що саме йдеться: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w:t>
      </w:r>
      <w:proofErr w:type="spellStart"/>
      <w:r w:rsidRPr="00E45422">
        <w:rPr>
          <w:rFonts w:ascii="Times New Roman" w:hAnsi="Times New Roman"/>
          <w:color w:val="000000" w:themeColor="text1"/>
          <w:sz w:val="24"/>
          <w:szCs w:val="24"/>
        </w:rPr>
        <w:t>сільськогосп</w:t>
      </w:r>
      <w:proofErr w:type="spellEnd"/>
      <w:r w:rsidRPr="00E45422">
        <w:rPr>
          <w:rFonts w:ascii="Times New Roman" w:hAnsi="Times New Roman"/>
          <w:color w:val="000000" w:themeColor="text1"/>
          <w:sz w:val="24"/>
          <w:szCs w:val="24"/>
        </w:rPr>
        <w:t xml:space="preserve"> товаровиробника або надана йому у користування, у тому числі на умовах оренди.</w:t>
      </w:r>
    </w:p>
    <w:p w14:paraId="3AB00786" w14:textId="4DEBA4DD"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Коли йдеться про оренду в особи, яка не є платником ЄП 4 групи, то питань з оподаткуванням доходу не виникає, бо у орендаря та в орендодавця різні об’єкти оподаткування і різні правила їх визначення. А от </w:t>
      </w:r>
      <w:r w:rsidRPr="00E45422">
        <w:rPr>
          <w:rStyle w:val="a6"/>
          <w:rFonts w:ascii="Times New Roman" w:hAnsi="Times New Roman"/>
          <w:color w:val="000000" w:themeColor="text1"/>
          <w:sz w:val="24"/>
          <w:szCs w:val="24"/>
        </w:rPr>
        <w:t>якщо і орендар, і орендодавець є платниками ЄП 4 групи</w:t>
      </w:r>
      <w:r w:rsidRPr="00E45422">
        <w:rPr>
          <w:rFonts w:ascii="Times New Roman" w:hAnsi="Times New Roman"/>
          <w:color w:val="000000" w:themeColor="text1"/>
          <w:sz w:val="24"/>
          <w:szCs w:val="24"/>
        </w:rPr>
        <w:t>, то за новою редакцією норми </w:t>
      </w:r>
      <w:proofErr w:type="spellStart"/>
      <w:r w:rsidRPr="00E45422">
        <w:rPr>
          <w:rFonts w:ascii="Times New Roman" w:hAnsi="Times New Roman"/>
          <w:color w:val="000000" w:themeColor="text1"/>
          <w:sz w:val="24"/>
          <w:szCs w:val="24"/>
        </w:rPr>
        <w:fldChar w:fldCharType="begin"/>
      </w:r>
      <w:r w:rsidRPr="00E45422">
        <w:rPr>
          <w:rFonts w:ascii="Times New Roman" w:hAnsi="Times New Roman"/>
          <w:color w:val="000000" w:themeColor="text1"/>
          <w:sz w:val="24"/>
          <w:szCs w:val="24"/>
        </w:rPr>
        <w:instrText xml:space="preserve"> HYPERLINK "https://docs.dtkt.ua/doc/1011.47.292?page=62" \l "pn10076" \t "_blank" </w:instrText>
      </w:r>
      <w:r w:rsidRPr="00E45422">
        <w:rPr>
          <w:rFonts w:ascii="Times New Roman" w:hAnsi="Times New Roman"/>
          <w:color w:val="000000" w:themeColor="text1"/>
          <w:sz w:val="24"/>
          <w:szCs w:val="24"/>
        </w:rPr>
        <w:fldChar w:fldCharType="separate"/>
      </w:r>
      <w:r w:rsidRPr="00E45422">
        <w:rPr>
          <w:rStyle w:val="a3"/>
          <w:rFonts w:ascii="Times New Roman" w:hAnsi="Times New Roman"/>
          <w:color w:val="000000" w:themeColor="text1"/>
          <w:sz w:val="24"/>
          <w:szCs w:val="24"/>
          <w:u w:val="none"/>
        </w:rPr>
        <w:t>пп</w:t>
      </w:r>
      <w:proofErr w:type="spellEnd"/>
      <w:r w:rsidRPr="00E45422">
        <w:rPr>
          <w:rStyle w:val="a3"/>
          <w:rFonts w:ascii="Times New Roman" w:hAnsi="Times New Roman"/>
          <w:color w:val="000000" w:themeColor="text1"/>
          <w:sz w:val="24"/>
          <w:szCs w:val="24"/>
          <w:u w:val="none"/>
        </w:rPr>
        <w:t>. 295.9.6 ПКУ</w:t>
      </w:r>
      <w:r w:rsidRPr="00E45422">
        <w:rPr>
          <w:rFonts w:ascii="Times New Roman" w:hAnsi="Times New Roman"/>
          <w:color w:val="000000" w:themeColor="text1"/>
          <w:sz w:val="24"/>
          <w:szCs w:val="24"/>
        </w:rPr>
        <w:fldChar w:fldCharType="end"/>
      </w:r>
      <w:r w:rsidRPr="00E45422">
        <w:rPr>
          <w:rFonts w:ascii="Times New Roman" w:hAnsi="Times New Roman"/>
          <w:color w:val="000000" w:themeColor="text1"/>
          <w:sz w:val="24"/>
          <w:szCs w:val="24"/>
        </w:rPr>
        <w:t>  після змін платник ЄП 4 групи – орендар у разі оренди або взяття у користування на інших умовах (у тому числі на умовах емфітевзису) сільськогосподарських угідь та/або земель водного фонду в особи, яка не є платником ЄП 4 групи, враховуватиме площу орендованих або взятих у користування на інших умовах (у тому числі на умовах емфітевзису) земельних ділянок у своїй декларації.   Якщо ж такий договір буде укладено між двома платниками ЄП 4 групи, то враховувати площу цих ділянок у своїй декларації з ЄП буде лише орендодавець. Зміни діють з 1 жовтня.</w:t>
      </w:r>
    </w:p>
    <w:p w14:paraId="1A5605CE" w14:textId="57200DA1"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4.</w:t>
      </w:r>
      <w:r w:rsidRPr="00E45422">
        <w:rPr>
          <w:rStyle w:val="a6"/>
          <w:rFonts w:ascii="Times New Roman" w:hAnsi="Times New Roman"/>
          <w:color w:val="000000" w:themeColor="text1"/>
          <w:sz w:val="24"/>
          <w:szCs w:val="24"/>
        </w:rPr>
        <w:t>Зміни для ФОП платників ЄП  1-3 груп щодо земельного податку</w:t>
      </w:r>
    </w:p>
    <w:p w14:paraId="71296183" w14:textId="65F44273"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І ще одну зміну буде </w:t>
      </w:r>
      <w:proofErr w:type="spellStart"/>
      <w:r w:rsidRPr="00E45422">
        <w:rPr>
          <w:rFonts w:ascii="Times New Roman" w:hAnsi="Times New Roman"/>
          <w:color w:val="000000" w:themeColor="text1"/>
          <w:sz w:val="24"/>
          <w:szCs w:val="24"/>
        </w:rPr>
        <w:t>внесено</w:t>
      </w:r>
      <w:proofErr w:type="spellEnd"/>
      <w:r w:rsidRPr="00E45422">
        <w:rPr>
          <w:rFonts w:ascii="Times New Roman" w:hAnsi="Times New Roman"/>
          <w:color w:val="000000" w:themeColor="text1"/>
          <w:sz w:val="24"/>
          <w:szCs w:val="24"/>
        </w:rPr>
        <w:t xml:space="preserve"> до </w:t>
      </w:r>
      <w:proofErr w:type="spellStart"/>
      <w:r w:rsidRPr="00E45422">
        <w:rPr>
          <w:rFonts w:ascii="Times New Roman" w:hAnsi="Times New Roman"/>
          <w:color w:val="000000" w:themeColor="text1"/>
          <w:sz w:val="24"/>
          <w:szCs w:val="24"/>
        </w:rPr>
        <w:fldChar w:fldCharType="begin"/>
      </w:r>
      <w:r w:rsidRPr="00E45422">
        <w:rPr>
          <w:rFonts w:ascii="Times New Roman" w:hAnsi="Times New Roman"/>
          <w:color w:val="000000" w:themeColor="text1"/>
          <w:sz w:val="24"/>
          <w:szCs w:val="24"/>
        </w:rPr>
        <w:instrText xml:space="preserve"> HYPERLINK "https://docs.dtkt.ua/doc/1011.47.292?page=62" \l "pn10127" \t "_blank" </w:instrText>
      </w:r>
      <w:r w:rsidRPr="00E45422">
        <w:rPr>
          <w:rFonts w:ascii="Times New Roman" w:hAnsi="Times New Roman"/>
          <w:color w:val="000000" w:themeColor="text1"/>
          <w:sz w:val="24"/>
          <w:szCs w:val="24"/>
        </w:rPr>
        <w:fldChar w:fldCharType="separate"/>
      </w:r>
      <w:r w:rsidRPr="00E45422">
        <w:rPr>
          <w:rStyle w:val="a3"/>
          <w:rFonts w:ascii="Times New Roman" w:hAnsi="Times New Roman"/>
          <w:color w:val="000000" w:themeColor="text1"/>
          <w:sz w:val="24"/>
          <w:szCs w:val="24"/>
          <w:u w:val="none"/>
        </w:rPr>
        <w:t>пп</w:t>
      </w:r>
      <w:proofErr w:type="spellEnd"/>
      <w:r w:rsidRPr="00E45422">
        <w:rPr>
          <w:rStyle w:val="a3"/>
          <w:rFonts w:ascii="Times New Roman" w:hAnsi="Times New Roman"/>
          <w:color w:val="000000" w:themeColor="text1"/>
          <w:sz w:val="24"/>
          <w:szCs w:val="24"/>
          <w:u w:val="none"/>
        </w:rPr>
        <w:t>. 4 п. 297.1 ПКУ</w:t>
      </w:r>
      <w:r w:rsidRPr="00E45422">
        <w:rPr>
          <w:rFonts w:ascii="Times New Roman" w:hAnsi="Times New Roman"/>
          <w:color w:val="000000" w:themeColor="text1"/>
          <w:sz w:val="24"/>
          <w:szCs w:val="24"/>
        </w:rPr>
        <w:fldChar w:fldCharType="end"/>
      </w:r>
      <w:r w:rsidRPr="00E45422">
        <w:rPr>
          <w:rFonts w:ascii="Times New Roman" w:hAnsi="Times New Roman"/>
          <w:color w:val="000000" w:themeColor="text1"/>
          <w:sz w:val="24"/>
          <w:szCs w:val="24"/>
        </w:rPr>
        <w:t xml:space="preserve"> . Зараз згідно з </w:t>
      </w:r>
      <w:proofErr w:type="spellStart"/>
      <w:r w:rsidRPr="00E45422">
        <w:rPr>
          <w:rFonts w:ascii="Times New Roman" w:hAnsi="Times New Roman"/>
          <w:color w:val="000000" w:themeColor="text1"/>
          <w:sz w:val="24"/>
          <w:szCs w:val="24"/>
        </w:rPr>
        <w:t>пп</w:t>
      </w:r>
      <w:proofErr w:type="spellEnd"/>
      <w:r w:rsidRPr="00E45422">
        <w:rPr>
          <w:rFonts w:ascii="Times New Roman" w:hAnsi="Times New Roman"/>
          <w:color w:val="000000" w:themeColor="text1"/>
          <w:sz w:val="24"/>
          <w:szCs w:val="24"/>
        </w:rPr>
        <w:t>. 4 п. 297.1 ПКУ платники ЄП 1-3 груп звільняються від сплати земельного податку за земельні ділянки, що використовуються такими платниками ЄП для провадження господарської діяльності.</w:t>
      </w:r>
    </w:p>
    <w:p w14:paraId="0FBBA977" w14:textId="60638FE2"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lastRenderedPageBreak/>
        <w:t xml:space="preserve"> Однак пільга не діє в разі надання земельних ділянок та/або нерухомого майна, що розташоване на таких земельних ділянках, в оренду (</w:t>
      </w:r>
      <w:proofErr w:type="spellStart"/>
      <w:r w:rsidRPr="00E45422">
        <w:rPr>
          <w:rFonts w:ascii="Times New Roman" w:hAnsi="Times New Roman"/>
          <w:color w:val="000000" w:themeColor="text1"/>
          <w:sz w:val="24"/>
          <w:szCs w:val="24"/>
        </w:rPr>
        <w:t>найм</w:t>
      </w:r>
      <w:proofErr w:type="spellEnd"/>
      <w:r w:rsidRPr="00E45422">
        <w:rPr>
          <w:rFonts w:ascii="Times New Roman" w:hAnsi="Times New Roman"/>
          <w:color w:val="000000" w:themeColor="text1"/>
          <w:sz w:val="24"/>
          <w:szCs w:val="24"/>
        </w:rPr>
        <w:t>), позичку, на іншому праву  користування. Законом №4536 уточнили, що ось це «інше право» стосується в тому числі надання землі та нерухомості в користування на умовах емфітевзису.</w:t>
      </w:r>
      <w:r w:rsidR="00A461D7">
        <w:rPr>
          <w:rFonts w:ascii="Times New Roman" w:hAnsi="Times New Roman"/>
          <w:color w:val="000000" w:themeColor="text1"/>
          <w:sz w:val="24"/>
          <w:szCs w:val="24"/>
        </w:rPr>
        <w:t xml:space="preserve"> </w:t>
      </w:r>
      <w:r w:rsidRPr="00E45422">
        <w:rPr>
          <w:rFonts w:ascii="Times New Roman" w:hAnsi="Times New Roman"/>
          <w:color w:val="000000" w:themeColor="text1"/>
          <w:sz w:val="24"/>
          <w:szCs w:val="24"/>
        </w:rPr>
        <w:t xml:space="preserve"> Тобто якщо «</w:t>
      </w:r>
      <w:proofErr w:type="spellStart"/>
      <w:r w:rsidRPr="00E45422">
        <w:rPr>
          <w:rFonts w:ascii="Times New Roman" w:hAnsi="Times New Roman"/>
          <w:color w:val="000000" w:themeColor="text1"/>
          <w:sz w:val="24"/>
          <w:szCs w:val="24"/>
        </w:rPr>
        <w:t>єдинник</w:t>
      </w:r>
      <w:proofErr w:type="spellEnd"/>
      <w:r w:rsidRPr="00E45422">
        <w:rPr>
          <w:rFonts w:ascii="Times New Roman" w:hAnsi="Times New Roman"/>
          <w:color w:val="000000" w:themeColor="text1"/>
          <w:sz w:val="24"/>
          <w:szCs w:val="24"/>
        </w:rPr>
        <w:t>» 1-3 груп уклав договір емфітевзису і надав таким чином власну земельну ділянку в користування, він позбавляється пільги з несплати земельного податку за таку земельну ділянку. Ці зміни набирають чинності з першого жовтня.</w:t>
      </w:r>
    </w:p>
    <w:p w14:paraId="798C35EF" w14:textId="79E8D03E"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w:t>
      </w:r>
      <w:r w:rsidRPr="00E45422">
        <w:rPr>
          <w:rStyle w:val="a6"/>
          <w:rFonts w:ascii="Times New Roman" w:hAnsi="Times New Roman"/>
          <w:color w:val="000000" w:themeColor="text1"/>
          <w:sz w:val="24"/>
          <w:szCs w:val="24"/>
        </w:rPr>
        <w:t xml:space="preserve">5.Якщо ФОП перебуває у трудових відносинах: ЄСВ . </w:t>
      </w:r>
      <w:r w:rsidRPr="00E45422">
        <w:rPr>
          <w:rFonts w:ascii="Times New Roman" w:hAnsi="Times New Roman"/>
          <w:color w:val="000000" w:themeColor="text1"/>
          <w:sz w:val="24"/>
          <w:szCs w:val="24"/>
        </w:rPr>
        <w:t>За новою нормою </w:t>
      </w:r>
      <w:hyperlink r:id="rId45" w:anchor="pn68" w:tgtFrame="_blank" w:history="1">
        <w:r w:rsidRPr="00E45422">
          <w:rPr>
            <w:rStyle w:val="a3"/>
            <w:rFonts w:ascii="Times New Roman" w:hAnsi="Times New Roman"/>
            <w:color w:val="000000" w:themeColor="text1"/>
            <w:sz w:val="24"/>
            <w:szCs w:val="24"/>
            <w:u w:val="none"/>
          </w:rPr>
          <w:t>ч. 6 ст. 4 Закону про ЄСВ</w:t>
        </w:r>
      </w:hyperlink>
      <w:r w:rsidRPr="00E45422">
        <w:rPr>
          <w:rFonts w:ascii="Times New Roman" w:hAnsi="Times New Roman"/>
          <w:color w:val="000000" w:themeColor="text1"/>
          <w:sz w:val="24"/>
          <w:szCs w:val="24"/>
        </w:rPr>
        <w:t xml:space="preserve"> вже на рівні закону буде прописано, що </w:t>
      </w:r>
      <w:proofErr w:type="spellStart"/>
      <w:r w:rsidRPr="00E45422">
        <w:rPr>
          <w:rFonts w:ascii="Times New Roman" w:hAnsi="Times New Roman"/>
          <w:color w:val="000000" w:themeColor="text1"/>
          <w:sz w:val="24"/>
          <w:szCs w:val="24"/>
        </w:rPr>
        <w:t>ФОПи</w:t>
      </w:r>
      <w:proofErr w:type="spellEnd"/>
      <w:r w:rsidRPr="00E45422">
        <w:rPr>
          <w:rFonts w:ascii="Times New Roman" w:hAnsi="Times New Roman"/>
          <w:color w:val="000000" w:themeColor="text1"/>
          <w:sz w:val="24"/>
          <w:szCs w:val="24"/>
        </w:rPr>
        <w:t xml:space="preserve"> (крім е-резидентів) та </w:t>
      </w:r>
      <w:proofErr w:type="spellStart"/>
      <w:r w:rsidRPr="00E45422">
        <w:rPr>
          <w:rFonts w:ascii="Times New Roman" w:hAnsi="Times New Roman"/>
          <w:color w:val="000000" w:themeColor="text1"/>
          <w:sz w:val="24"/>
          <w:szCs w:val="24"/>
        </w:rPr>
        <w:t>самозайняті</w:t>
      </w:r>
      <w:proofErr w:type="spellEnd"/>
      <w:r w:rsidRPr="00E45422">
        <w:rPr>
          <w:rFonts w:ascii="Times New Roman" w:hAnsi="Times New Roman"/>
          <w:color w:val="000000" w:themeColor="text1"/>
          <w:sz w:val="24"/>
          <w:szCs w:val="24"/>
        </w:rPr>
        <w:t xml:space="preserve"> особи звільнятимуться від сплати </w:t>
      </w:r>
      <w:r w:rsidRPr="00E45422">
        <w:rPr>
          <w:rStyle w:val="a6"/>
          <w:rFonts w:ascii="Times New Roman" w:hAnsi="Times New Roman"/>
          <w:color w:val="000000" w:themeColor="text1"/>
          <w:sz w:val="24"/>
          <w:szCs w:val="24"/>
        </w:rPr>
        <w:t>за себе</w:t>
      </w:r>
      <w:r w:rsidRPr="00E45422">
        <w:rPr>
          <w:rFonts w:ascii="Times New Roman" w:hAnsi="Times New Roman"/>
          <w:color w:val="000000" w:themeColor="text1"/>
          <w:sz w:val="24"/>
          <w:szCs w:val="24"/>
        </w:rPr>
        <w:t xml:space="preserve"> єдиного внеску за місяці звітного періоду, за які роботодавцем, зокрема резидентом Дія Сіті, сплачено страховий внесок за таких осіб у розмірі не менше мінімального страхового внеску. Незалежно від того, хто є роботодавцем (за сумісництвом чи за основним місцем працював ФОП), – якщо хоч за одним місцем роботи за нього нарахували і сплатили ЄСВ не нижче мінімального страхового внеску (у 2025 – 1760 грн), такий ФОП звільняється від сплати ЄСВ за </w:t>
      </w:r>
      <w:proofErr w:type="spellStart"/>
      <w:r w:rsidRPr="00E45422">
        <w:rPr>
          <w:rFonts w:ascii="Times New Roman" w:hAnsi="Times New Roman"/>
          <w:color w:val="000000" w:themeColor="text1"/>
          <w:sz w:val="24"/>
          <w:szCs w:val="24"/>
        </w:rPr>
        <w:t>себе.Таке</w:t>
      </w:r>
      <w:proofErr w:type="spellEnd"/>
      <w:r w:rsidRPr="00E45422">
        <w:rPr>
          <w:rFonts w:ascii="Times New Roman" w:hAnsi="Times New Roman"/>
          <w:color w:val="000000" w:themeColor="text1"/>
          <w:sz w:val="24"/>
          <w:szCs w:val="24"/>
        </w:rPr>
        <w:t xml:space="preserve"> саме правило діятиме і щодо </w:t>
      </w:r>
      <w:proofErr w:type="spellStart"/>
      <w:r w:rsidRPr="00E45422">
        <w:rPr>
          <w:rFonts w:ascii="Times New Roman" w:hAnsi="Times New Roman"/>
          <w:color w:val="000000" w:themeColor="text1"/>
          <w:sz w:val="24"/>
          <w:szCs w:val="24"/>
        </w:rPr>
        <w:t>фізосіб</w:t>
      </w:r>
      <w:proofErr w:type="spellEnd"/>
      <w:r w:rsidRPr="00E45422">
        <w:rPr>
          <w:rFonts w:ascii="Times New Roman" w:hAnsi="Times New Roman"/>
          <w:color w:val="000000" w:themeColor="text1"/>
          <w:sz w:val="24"/>
          <w:szCs w:val="24"/>
        </w:rPr>
        <w:t>, які здійснюють незалежну професійну діяльність.</w:t>
      </w:r>
    </w:p>
    <w:p w14:paraId="356E6617" w14:textId="581DBF5D"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6.Зміни щодо ПДВ</w:t>
      </w:r>
    </w:p>
    <w:p w14:paraId="674F52A0" w14:textId="1038E666"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 xml:space="preserve">       Касовий метод для енергетиків та комунальників продовжено  до 1 січня 2028 року</w:t>
      </w:r>
      <w:r w:rsidRPr="00E45422">
        <w:rPr>
          <w:rFonts w:ascii="Times New Roman" w:hAnsi="Times New Roman"/>
          <w:color w:val="000000" w:themeColor="text1"/>
          <w:sz w:val="24"/>
          <w:szCs w:val="24"/>
        </w:rPr>
        <w:t>.</w:t>
      </w:r>
    </w:p>
    <w:p w14:paraId="6921AEE5" w14:textId="26C464FA"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Для підприємств, які постачають електричну та/або теплову енергію, вугілля, надають послуги з водопостачання та водовідведення  обов'язок нарахувати ПДВ виникає тоді, коли  фактично отримано  кошти від покупців, а право на податковий кредит – коли  фактично сплачено за товари/послуги своїм постачальникам. </w:t>
      </w:r>
    </w:p>
    <w:p w14:paraId="4C3F812D" w14:textId="68AB3738"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Це стосується платників податку, які:</w:t>
      </w:r>
    </w:p>
    <w:p w14:paraId="3B4B6A19" w14:textId="72A414B3"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Постачають, передають або розподіляють електричну та теплову енергію.</w:t>
      </w:r>
    </w:p>
    <w:p w14:paraId="57321740" w14:textId="03808F44"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Надають послуги із забезпечення загальносуспільних інтересів на ринку електроенергії.</w:t>
      </w:r>
    </w:p>
    <w:p w14:paraId="37B2C7BE" w14:textId="0261525F"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Постачають вугілля та/або продукти його збагачення (товарні позиції 2701, 2702, 2704 00 згідно з УКТ ЗЕД).</w:t>
      </w:r>
    </w:p>
    <w:p w14:paraId="60A5A787" w14:textId="03022AC2"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Надають послуги з централізованого водопостачання та водовідведення.</w:t>
      </w:r>
    </w:p>
    <w:p w14:paraId="4E18C846" w14:textId="052F18D1"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Нараховують плату за абонентське обслуговування.</w:t>
      </w:r>
    </w:p>
    <w:p w14:paraId="27C8044A" w14:textId="60D02FA8"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Як і раніше, якщо постачання мають безперервний або ритмічний характер (два і більше разів на місяць одному покупцю), складаються  зведені </w:t>
      </w:r>
      <w:hyperlink r:id="rId46" w:tgtFrame="_blank" w:history="1">
        <w:r w:rsidRPr="00E45422">
          <w:rPr>
            <w:rStyle w:val="a3"/>
            <w:rFonts w:ascii="Times New Roman" w:hAnsi="Times New Roman"/>
            <w:color w:val="000000" w:themeColor="text1"/>
            <w:sz w:val="24"/>
            <w:szCs w:val="24"/>
            <w:u w:val="none"/>
          </w:rPr>
          <w:t>податкові накладні</w:t>
        </w:r>
      </w:hyperlink>
      <w:r w:rsidRPr="00E45422">
        <w:rPr>
          <w:rFonts w:ascii="Times New Roman" w:hAnsi="Times New Roman"/>
          <w:color w:val="000000" w:themeColor="text1"/>
          <w:sz w:val="24"/>
          <w:szCs w:val="24"/>
        </w:rPr>
        <w:t> не пізніше останнього дня місяця, в якому отримано кошти. Це стосується розрахунків як з платниками, так і з неплатниками ПДВ.</w:t>
      </w:r>
    </w:p>
    <w:p w14:paraId="09A3769E" w14:textId="76D27A2C"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color w:val="000000" w:themeColor="text1"/>
          <w:sz w:val="24"/>
          <w:szCs w:val="24"/>
        </w:rPr>
        <w:t>7.Зміни щодо місцевих податків</w:t>
      </w:r>
    </w:p>
    <w:p w14:paraId="5F0A5055" w14:textId="04C1862E"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До </w:t>
      </w:r>
      <w:hyperlink r:id="rId47" w:anchor="pn13005" w:tgtFrame="_blank" w:history="1">
        <w:r w:rsidRPr="00E45422">
          <w:rPr>
            <w:rStyle w:val="a3"/>
            <w:rFonts w:ascii="Times New Roman" w:hAnsi="Times New Roman"/>
            <w:color w:val="000000" w:themeColor="text1"/>
            <w:sz w:val="24"/>
            <w:szCs w:val="24"/>
            <w:u w:val="none"/>
          </w:rPr>
          <w:t>підрозділу 10 розділу ХХ ПКУ</w:t>
        </w:r>
      </w:hyperlink>
      <w:r w:rsidRPr="00E45422">
        <w:rPr>
          <w:rFonts w:ascii="Times New Roman" w:hAnsi="Times New Roman"/>
          <w:color w:val="000000" w:themeColor="text1"/>
          <w:sz w:val="24"/>
          <w:szCs w:val="24"/>
        </w:rPr>
        <w:t>  додано нову норму – пункт 69.42, – яка дозволяє місцевій владі приймати заднім числом рішення про зменшення ставок або надання пільг.</w:t>
      </w:r>
    </w:p>
    <w:p w14:paraId="29B8AAEA" w14:textId="2BF5A6A8"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Якщо місцева рада, військова чи військово-цивільна адміністрація протягом дії воєнного стану (і до кінця року, в якому його скасують) прийме рішення зменшити ставки </w:t>
      </w:r>
      <w:hyperlink r:id="rId48" w:tgtFrame="_blank" w:history="1">
        <w:r w:rsidRPr="00E45422">
          <w:rPr>
            <w:rStyle w:val="a3"/>
            <w:rFonts w:ascii="Times New Roman" w:hAnsi="Times New Roman"/>
            <w:color w:val="000000" w:themeColor="text1"/>
            <w:sz w:val="24"/>
            <w:szCs w:val="24"/>
            <w:u w:val="none"/>
          </w:rPr>
          <w:t>місцевих податків</w:t>
        </w:r>
      </w:hyperlink>
      <w:r w:rsidRPr="00E45422">
        <w:rPr>
          <w:rFonts w:ascii="Times New Roman" w:hAnsi="Times New Roman"/>
          <w:color w:val="000000" w:themeColor="text1"/>
          <w:sz w:val="24"/>
          <w:szCs w:val="24"/>
        </w:rPr>
        <w:t> або запровадити пільги, то таке рішення може поширюватися і на попередні періоди починаючи з 2022 року. Це означає, що влада може, наприклад, у 2025 році вирішити зменшити ставку земельного податку за 2023 та 2024 роки.</w:t>
      </w:r>
    </w:p>
    <w:p w14:paraId="2C81AB46" w14:textId="53B7BE8F"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Я</w:t>
      </w:r>
      <w:r w:rsidRPr="00E45422">
        <w:rPr>
          <w:rStyle w:val="a6"/>
          <w:rFonts w:ascii="Times New Roman" w:hAnsi="Times New Roman"/>
          <w:b w:val="0"/>
          <w:bCs w:val="0"/>
          <w:color w:val="000000" w:themeColor="text1"/>
          <w:sz w:val="24"/>
          <w:szCs w:val="24"/>
        </w:rPr>
        <w:t>кщо платник – юридична особа (тобто сам нараховує податок):</w:t>
      </w:r>
      <w:r w:rsidRPr="00E45422">
        <w:rPr>
          <w:rFonts w:ascii="Times New Roman" w:hAnsi="Times New Roman"/>
          <w:color w:val="000000" w:themeColor="text1"/>
          <w:sz w:val="24"/>
          <w:szCs w:val="24"/>
        </w:rPr>
        <w:br/>
        <w:t>то діє  право відкоригувати податкові зобов'язання. Для цього потрібно подати </w:t>
      </w:r>
      <w:r w:rsidRPr="00E45422">
        <w:rPr>
          <w:rStyle w:val="a6"/>
          <w:rFonts w:ascii="Times New Roman" w:hAnsi="Times New Roman"/>
          <w:b w:val="0"/>
          <w:bCs w:val="0"/>
          <w:color w:val="000000" w:themeColor="text1"/>
          <w:sz w:val="24"/>
          <w:szCs w:val="24"/>
        </w:rPr>
        <w:t>уточнюючі декларації</w:t>
      </w:r>
      <w:r w:rsidRPr="00E45422">
        <w:rPr>
          <w:rFonts w:ascii="Times New Roman" w:hAnsi="Times New Roman"/>
          <w:color w:val="000000" w:themeColor="text1"/>
          <w:sz w:val="24"/>
          <w:szCs w:val="24"/>
        </w:rPr>
        <w:t> за періоди, яких стосується рішення місцевої влади.</w:t>
      </w:r>
    </w:p>
    <w:p w14:paraId="05947539" w14:textId="1C3F892F" w:rsidR="00E45422" w:rsidRPr="00E45422" w:rsidRDefault="00E45422" w:rsidP="00E45422">
      <w:pPr>
        <w:pStyle w:val="a4"/>
        <w:ind w:firstLine="567"/>
        <w:jc w:val="both"/>
        <w:rPr>
          <w:rFonts w:ascii="Times New Roman" w:hAnsi="Times New Roman"/>
          <w:color w:val="000000" w:themeColor="text1"/>
          <w:sz w:val="24"/>
          <w:szCs w:val="24"/>
        </w:rPr>
      </w:pPr>
      <w:r w:rsidRPr="00E45422">
        <w:rPr>
          <w:rStyle w:val="a6"/>
          <w:rFonts w:ascii="Times New Roman" w:hAnsi="Times New Roman"/>
          <w:b w:val="0"/>
          <w:bCs w:val="0"/>
          <w:color w:val="000000" w:themeColor="text1"/>
          <w:sz w:val="24"/>
          <w:szCs w:val="24"/>
        </w:rPr>
        <w:t xml:space="preserve"> Якщо платник – фізична особа (податок нараховує ДПС):</w:t>
      </w:r>
      <w:r w:rsidRPr="00E45422">
        <w:rPr>
          <w:rFonts w:ascii="Times New Roman" w:hAnsi="Times New Roman"/>
          <w:color w:val="000000" w:themeColor="text1"/>
          <w:sz w:val="24"/>
          <w:szCs w:val="24"/>
        </w:rPr>
        <w:br/>
        <w:t>все відбувається автоматично. Податкова сама скасує (</w:t>
      </w:r>
      <w:proofErr w:type="spellStart"/>
      <w:r w:rsidRPr="00E45422">
        <w:rPr>
          <w:rFonts w:ascii="Times New Roman" w:hAnsi="Times New Roman"/>
          <w:color w:val="000000" w:themeColor="text1"/>
          <w:sz w:val="24"/>
          <w:szCs w:val="24"/>
        </w:rPr>
        <w:t>відкличе</w:t>
      </w:r>
      <w:proofErr w:type="spellEnd"/>
      <w:r w:rsidRPr="00E45422">
        <w:rPr>
          <w:rFonts w:ascii="Times New Roman" w:hAnsi="Times New Roman"/>
          <w:color w:val="000000" w:themeColor="text1"/>
          <w:sz w:val="24"/>
          <w:szCs w:val="24"/>
        </w:rPr>
        <w:t xml:space="preserve">) раніше надіслані податкові повідомлення-рішення (ППР), перерахує суму податку за новою, зменшеною ставкою і </w:t>
      </w:r>
      <w:proofErr w:type="spellStart"/>
      <w:r w:rsidRPr="00E45422">
        <w:rPr>
          <w:rFonts w:ascii="Times New Roman" w:hAnsi="Times New Roman"/>
          <w:color w:val="000000" w:themeColor="text1"/>
          <w:sz w:val="24"/>
          <w:szCs w:val="24"/>
        </w:rPr>
        <w:t>надішле</w:t>
      </w:r>
      <w:proofErr w:type="spellEnd"/>
      <w:r w:rsidRPr="00E45422">
        <w:rPr>
          <w:rFonts w:ascii="Times New Roman" w:hAnsi="Times New Roman"/>
          <w:color w:val="000000" w:themeColor="text1"/>
          <w:sz w:val="24"/>
          <w:szCs w:val="24"/>
        </w:rPr>
        <w:t xml:space="preserve"> нове ППР.</w:t>
      </w:r>
    </w:p>
    <w:p w14:paraId="2B61C88D" w14:textId="2D4374B9"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Дуже важливий момент: на суми, на які будуть зменшені  податкові зобов'язання через таке рішення влади, </w:t>
      </w:r>
      <w:r w:rsidRPr="00E45422">
        <w:rPr>
          <w:rStyle w:val="a6"/>
          <w:rFonts w:ascii="Times New Roman" w:hAnsi="Times New Roman"/>
          <w:color w:val="000000" w:themeColor="text1"/>
          <w:sz w:val="24"/>
          <w:szCs w:val="24"/>
        </w:rPr>
        <w:t>штрафні санкції та пеня не нараховуються</w:t>
      </w:r>
      <w:r w:rsidRPr="00E45422">
        <w:rPr>
          <w:rFonts w:ascii="Times New Roman" w:hAnsi="Times New Roman"/>
          <w:color w:val="000000" w:themeColor="text1"/>
          <w:sz w:val="24"/>
          <w:szCs w:val="24"/>
        </w:rPr>
        <w:t>. А якщо вони вже були нараховані, то їх анулюють.</w:t>
      </w:r>
    </w:p>
    <w:p w14:paraId="61578F94" w14:textId="6FF7D8AE"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lastRenderedPageBreak/>
        <w:t xml:space="preserve"> Переплата автоматично зараховується в рахунок: майбутніх платежів з цього ж податку; або в рахунок погашення податкового боргу з цього податку, якщо він у вас є.</w:t>
      </w:r>
    </w:p>
    <w:p w14:paraId="772C101B" w14:textId="4356DE15"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Якщо змінився власник нерухомого майна за яке податок сплачено наперед, а потім  об'єкт продано, то сума переплати може бути зарахована в рахунок майбутніх платежів нового власника. Але для цього є дві умови:  Новий власник має компенсувати попередньому цю суму переплати. Податкова має надати висновок, що підтверджує суму такої переплати. </w:t>
      </w:r>
    </w:p>
    <w:p w14:paraId="00F67646" w14:textId="13CE7758"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w:t>
      </w:r>
      <w:r w:rsidRPr="00E45422">
        <w:rPr>
          <w:rFonts w:ascii="Times New Roman" w:hAnsi="Times New Roman"/>
          <w:b/>
          <w:color w:val="000000" w:themeColor="text1"/>
          <w:sz w:val="24"/>
          <w:szCs w:val="24"/>
        </w:rPr>
        <w:t>8.ПКУ доповнено двома новими пунктами</w:t>
      </w:r>
      <w:r w:rsidRPr="00E45422">
        <w:rPr>
          <w:rFonts w:ascii="Times New Roman" w:hAnsi="Times New Roman"/>
          <w:color w:val="000000" w:themeColor="text1"/>
          <w:sz w:val="24"/>
          <w:szCs w:val="24"/>
        </w:rPr>
        <w:t>:</w:t>
      </w:r>
    </w:p>
    <w:p w14:paraId="0A2402C5" w14:textId="36E0B006"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274.3. Ставка податку за земельні ділянки, нормативну грошову оцінку яких проведено, надані гірничодобувним підприємствам для видобування корисних копалин та розробки родовищ корисних копалин, встановлюється у розмірі 8 відсотків від їх нормативної грошової оцінки.</w:t>
      </w:r>
    </w:p>
    <w:p w14:paraId="228B00E8" w14:textId="12AD0CBD"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277.2. Ставка податку за земельні ділянки, нормативну грошову оцінку яких не проведено, надані гірничодобувним підприємствам для видобування корисних копалин та розробки родовищ корисних копалин, встановлюється у розмірі 12 відсотків від нормативної грошової оцінки площі ріллі по Автономній Республіці Крим або по області.</w:t>
      </w:r>
    </w:p>
    <w:p w14:paraId="49AE923E" w14:textId="1EBB1033"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Разом з тим, у ПКУ залишається чинним </w:t>
      </w:r>
      <w:hyperlink r:id="rId49" w:anchor="pn9743" w:tgtFrame="_blank" w:history="1">
        <w:r w:rsidRPr="00E45422">
          <w:rPr>
            <w:rStyle w:val="a3"/>
            <w:rFonts w:ascii="Times New Roman" w:hAnsi="Times New Roman"/>
            <w:color w:val="000000" w:themeColor="text1"/>
            <w:sz w:val="24"/>
            <w:szCs w:val="24"/>
            <w:u w:val="none"/>
          </w:rPr>
          <w:t>пункт 284.4</w:t>
        </w:r>
      </w:hyperlink>
      <w:r w:rsidRPr="00E45422">
        <w:rPr>
          <w:rFonts w:ascii="Times New Roman" w:hAnsi="Times New Roman"/>
          <w:color w:val="000000" w:themeColor="text1"/>
          <w:sz w:val="24"/>
          <w:szCs w:val="24"/>
        </w:rPr>
        <w:t xml:space="preserve">. За буквального розуміння цих норм потрібно розрахувати податок за пунктом 274.3 чи 277.2 ПКУ, а </w:t>
      </w:r>
      <w:r w:rsidRPr="001B370A">
        <w:rPr>
          <w:rFonts w:ascii="Times New Roman" w:hAnsi="Times New Roman"/>
          <w:i/>
          <w:iCs/>
          <w:color w:val="000000" w:themeColor="text1"/>
          <w:sz w:val="24"/>
          <w:szCs w:val="24"/>
        </w:rPr>
        <w:t>потім від суми таким чином розрахованого податку обчислити розмір 25%. Це і буде сума податку до сплати.</w:t>
      </w:r>
    </w:p>
    <w:p w14:paraId="492D416E" w14:textId="04BC1C08"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Але є й інше розуміння, альтернативне, відповідно до якого норми пункту 274.3 і пункту 277.2 ПКУ є спеціальними, а тому застосовуються саме ці норми, а пункт 284.4 ПКУ не застосовується.</w:t>
      </w:r>
    </w:p>
    <w:p w14:paraId="2EEA7222" w14:textId="47E7051E"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w:t>
      </w:r>
      <w:r w:rsidRPr="00E45422">
        <w:rPr>
          <w:rStyle w:val="a6"/>
          <w:rFonts w:ascii="Times New Roman" w:hAnsi="Times New Roman"/>
          <w:color w:val="000000" w:themeColor="text1"/>
          <w:sz w:val="24"/>
          <w:szCs w:val="24"/>
        </w:rPr>
        <w:t xml:space="preserve"> 9. Пільги для власників землі, що надають землю в користування платникам ЄП групи 4</w:t>
      </w:r>
    </w:p>
    <w:p w14:paraId="73295213" w14:textId="0AED05DF"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Внесені зміни усувають дискримінацію в законодавстві. Раніше при передачі землі за договором емфітевзису, власник був зобов'язаний сплачувати земельний податок, оскільки така форма користування не підпадала під визначення "оренди". Тепер, завдяки розширенню формулювання, власники, які уклали договори емфітевзису чи інші договори користування землею з платниками єдиного податку четвертої групи, нарівні з орендодавцями звільняються від сплати земельного податку на період дії такого договору.</w:t>
      </w:r>
    </w:p>
    <w:p w14:paraId="60CB452E" w14:textId="396E3B7E"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w:t>
      </w:r>
      <w:r w:rsidRPr="00E45422">
        <w:rPr>
          <w:rStyle w:val="a6"/>
          <w:rFonts w:ascii="Times New Roman" w:hAnsi="Times New Roman"/>
          <w:color w:val="000000" w:themeColor="text1"/>
          <w:sz w:val="24"/>
          <w:szCs w:val="24"/>
        </w:rPr>
        <w:t xml:space="preserve">     10. Зміни щодо ТЦУ</w:t>
      </w:r>
    </w:p>
    <w:p w14:paraId="6F4520C7" w14:textId="3B088610"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Раніше до ПКУ було впроваджено спеціальні правила для контролю за цінами на сировинні товари.  Ключовим у цих </w:t>
      </w:r>
      <w:r w:rsidRPr="001B370A">
        <w:rPr>
          <w:rFonts w:ascii="Times New Roman" w:hAnsi="Times New Roman"/>
          <w:i/>
          <w:iCs/>
          <w:color w:val="000000" w:themeColor="text1"/>
          <w:sz w:val="24"/>
          <w:szCs w:val="24"/>
        </w:rPr>
        <w:t>правилах є поняття </w:t>
      </w:r>
      <w:r w:rsidRPr="001B370A">
        <w:rPr>
          <w:rStyle w:val="a6"/>
          <w:rFonts w:ascii="Times New Roman" w:hAnsi="Times New Roman"/>
          <w:i/>
          <w:iCs/>
          <w:color w:val="000000" w:themeColor="text1"/>
          <w:sz w:val="24"/>
          <w:szCs w:val="24"/>
        </w:rPr>
        <w:t>«котирувальні ціни»</w:t>
      </w:r>
      <w:r w:rsidRPr="001B370A">
        <w:rPr>
          <w:rFonts w:ascii="Times New Roman" w:hAnsi="Times New Roman"/>
          <w:i/>
          <w:iCs/>
          <w:color w:val="000000" w:themeColor="text1"/>
          <w:sz w:val="24"/>
          <w:szCs w:val="24"/>
        </w:rPr>
        <w:t> – тобто ринкові ціни на товар з міжнародних бірж та авторитетних цінових агентств, які використовуються як еталон.</w:t>
      </w:r>
      <w:r w:rsidR="00715207" w:rsidRPr="001B370A">
        <w:rPr>
          <w:rFonts w:ascii="Times New Roman" w:hAnsi="Times New Roman"/>
          <w:i/>
          <w:iCs/>
          <w:color w:val="000000" w:themeColor="text1"/>
          <w:sz w:val="24"/>
          <w:szCs w:val="24"/>
        </w:rPr>
        <w:t xml:space="preserve"> </w:t>
      </w:r>
      <w:r w:rsidRPr="00E45422">
        <w:rPr>
          <w:rFonts w:ascii="Times New Roman" w:hAnsi="Times New Roman"/>
          <w:color w:val="000000" w:themeColor="text1"/>
          <w:sz w:val="24"/>
          <w:szCs w:val="24"/>
        </w:rPr>
        <w:t>Проте не було остаточної ясності, з якого саме періоду сам термін «котирувальні ціни», застосовується.  Новий пункт  75 у підрозділі 10 розділу ХХ прямо встановлює, що термін </w:t>
      </w:r>
      <w:r w:rsidRPr="00E45422">
        <w:rPr>
          <w:rStyle w:val="a6"/>
          <w:rFonts w:ascii="Times New Roman" w:hAnsi="Times New Roman"/>
          <w:color w:val="000000" w:themeColor="text1"/>
          <w:sz w:val="24"/>
          <w:szCs w:val="24"/>
        </w:rPr>
        <w:t>«котирувальні ціни»</w:t>
      </w:r>
      <w:r w:rsidRPr="00E45422">
        <w:rPr>
          <w:rFonts w:ascii="Times New Roman" w:hAnsi="Times New Roman"/>
          <w:color w:val="000000" w:themeColor="text1"/>
          <w:sz w:val="24"/>
          <w:szCs w:val="24"/>
        </w:rPr>
        <w:t> та всі пов'язані з ним правила застосовуються для податкових періодів </w:t>
      </w:r>
      <w:r w:rsidRPr="00E45422">
        <w:rPr>
          <w:rStyle w:val="a6"/>
          <w:rFonts w:ascii="Times New Roman" w:hAnsi="Times New Roman"/>
          <w:color w:val="000000" w:themeColor="text1"/>
          <w:sz w:val="24"/>
          <w:szCs w:val="24"/>
        </w:rPr>
        <w:t>починаючи з 1 січня 2021 року</w:t>
      </w:r>
      <w:r w:rsidRPr="00E45422">
        <w:rPr>
          <w:rFonts w:ascii="Times New Roman" w:hAnsi="Times New Roman"/>
          <w:color w:val="000000" w:themeColor="text1"/>
          <w:sz w:val="24"/>
          <w:szCs w:val="24"/>
        </w:rPr>
        <w:t>.</w:t>
      </w:r>
    </w:p>
    <w:p w14:paraId="4A075247" w14:textId="6FCEC344"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w:t>
      </w:r>
      <w:r w:rsidRPr="00E45422">
        <w:rPr>
          <w:rStyle w:val="a6"/>
          <w:rFonts w:ascii="Times New Roman" w:hAnsi="Times New Roman"/>
          <w:color w:val="000000" w:themeColor="text1"/>
          <w:sz w:val="24"/>
          <w:szCs w:val="24"/>
        </w:rPr>
        <w:t xml:space="preserve"> На практиці це означає:</w:t>
      </w:r>
      <w:r w:rsidRPr="00E45422">
        <w:rPr>
          <w:rFonts w:ascii="Times New Roman" w:hAnsi="Times New Roman"/>
          <w:color w:val="000000" w:themeColor="text1"/>
          <w:sz w:val="24"/>
          <w:szCs w:val="24"/>
        </w:rPr>
        <w:t>  важливо для компаній, які експортують або імпортують сировинні товари (з переліку, затвердженого Кабміном) у контрольованих операціях. Зміна підтверджує, що при звітуванні за 2021, 2022, 2023 та наступні роки ви повинні були і повинні зараз обґрунтовувати ціну вашої операції з сировинними товарами, порівнюючи її саме з біржовими (котирувальними) цінами. Це пріоритетний метод.</w:t>
      </w:r>
    </w:p>
    <w:p w14:paraId="15EC3B7F" w14:textId="3F7DF1DC"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Ця норма надає правову підставу під </w:t>
      </w:r>
      <w:r w:rsidRPr="001B370A">
        <w:rPr>
          <w:rFonts w:ascii="Times New Roman" w:hAnsi="Times New Roman"/>
          <w:i/>
          <w:iCs/>
          <w:color w:val="000000" w:themeColor="text1"/>
          <w:sz w:val="24"/>
          <w:szCs w:val="24"/>
        </w:rPr>
        <w:t>час перевірок ТЦУ за періоди з 2021 року</w:t>
      </w:r>
      <w:r w:rsidRPr="00E45422">
        <w:rPr>
          <w:rFonts w:ascii="Times New Roman" w:hAnsi="Times New Roman"/>
          <w:color w:val="000000" w:themeColor="text1"/>
          <w:sz w:val="24"/>
          <w:szCs w:val="24"/>
        </w:rPr>
        <w:t xml:space="preserve">. Тепер ніхто  не може трактувати закон інакше. Це не нова вимога, а офіційне законодавче закріплення практики, яка вже склалася </w:t>
      </w:r>
    </w:p>
    <w:p w14:paraId="77946DC3" w14:textId="77777777" w:rsidR="001B370A" w:rsidRDefault="001B370A" w:rsidP="00E45422">
      <w:pPr>
        <w:pStyle w:val="a4"/>
        <w:ind w:firstLine="567"/>
        <w:jc w:val="both"/>
        <w:rPr>
          <w:rFonts w:ascii="Times New Roman" w:hAnsi="Times New Roman"/>
          <w:b/>
          <w:bCs/>
          <w:color w:val="000000" w:themeColor="text1"/>
          <w:sz w:val="24"/>
          <w:szCs w:val="24"/>
        </w:rPr>
      </w:pPr>
    </w:p>
    <w:p w14:paraId="67FC70EA" w14:textId="1A5986C8"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b/>
          <w:bCs/>
          <w:color w:val="000000" w:themeColor="text1"/>
          <w:sz w:val="24"/>
          <w:szCs w:val="24"/>
        </w:rPr>
        <w:t>Для суб’єктів господарювання  (юридичних осіб та ФОП з працівниками),</w:t>
      </w:r>
      <w:r w:rsidRPr="00E45422">
        <w:rPr>
          <w:rFonts w:ascii="Times New Roman" w:hAnsi="Times New Roman"/>
          <w:color w:val="000000" w:themeColor="text1"/>
          <w:sz w:val="24"/>
          <w:szCs w:val="24"/>
        </w:rPr>
        <w:t xml:space="preserve"> що отримали ліцензію на право роздрібної торгівлі алкогольними напоями, сидром та </w:t>
      </w:r>
      <w:proofErr w:type="spellStart"/>
      <w:r w:rsidRPr="00E45422">
        <w:rPr>
          <w:rFonts w:ascii="Times New Roman" w:hAnsi="Times New Roman"/>
          <w:color w:val="000000" w:themeColor="text1"/>
          <w:sz w:val="24"/>
          <w:szCs w:val="24"/>
        </w:rPr>
        <w:t>перрі</w:t>
      </w:r>
      <w:proofErr w:type="spellEnd"/>
      <w:r w:rsidRPr="00E45422">
        <w:rPr>
          <w:rFonts w:ascii="Times New Roman" w:hAnsi="Times New Roman"/>
          <w:color w:val="000000" w:themeColor="text1"/>
          <w:sz w:val="24"/>
          <w:szCs w:val="24"/>
        </w:rPr>
        <w:t xml:space="preserve"> (без додавання спирту), тютюновими виробами, рідинами для електронних сигарет або пальним:</w:t>
      </w:r>
    </w:p>
    <w:p w14:paraId="5A84AE2D" w14:textId="15D44D63"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розмір </w:t>
      </w:r>
      <w:r w:rsidRPr="00E45422">
        <w:rPr>
          <w:rFonts w:ascii="Times New Roman" w:hAnsi="Times New Roman"/>
          <w:b/>
          <w:bCs/>
          <w:color w:val="000000" w:themeColor="text1"/>
          <w:sz w:val="24"/>
          <w:szCs w:val="24"/>
        </w:rPr>
        <w:t>середньої щомісячної заробітної плати</w:t>
      </w:r>
      <w:r w:rsidRPr="00E45422">
        <w:rPr>
          <w:rFonts w:ascii="Times New Roman" w:hAnsi="Times New Roman"/>
          <w:color w:val="000000" w:themeColor="text1"/>
          <w:sz w:val="24"/>
          <w:szCs w:val="24"/>
        </w:rPr>
        <w:t>, нарахованої суб’єктом господарювання, має становити </w:t>
      </w:r>
      <w:r w:rsidRPr="00E45422">
        <w:rPr>
          <w:rFonts w:ascii="Times New Roman" w:hAnsi="Times New Roman"/>
          <w:b/>
          <w:bCs/>
          <w:color w:val="000000" w:themeColor="text1"/>
          <w:sz w:val="24"/>
          <w:szCs w:val="24"/>
        </w:rPr>
        <w:t>не менше 2 розмірів мінімальної заробітної плати</w:t>
      </w:r>
      <w:r w:rsidRPr="00E45422">
        <w:rPr>
          <w:rFonts w:ascii="Times New Roman" w:hAnsi="Times New Roman"/>
          <w:color w:val="000000" w:themeColor="text1"/>
          <w:sz w:val="24"/>
          <w:szCs w:val="24"/>
        </w:rPr>
        <w:t>, встановленої законом на 1 січня звітного (податкового) року </w:t>
      </w:r>
      <w:r w:rsidRPr="00E45422">
        <w:rPr>
          <w:rFonts w:ascii="Times New Roman" w:hAnsi="Times New Roman"/>
          <w:b/>
          <w:bCs/>
          <w:color w:val="000000" w:themeColor="text1"/>
          <w:sz w:val="24"/>
          <w:szCs w:val="24"/>
        </w:rPr>
        <w:t>(у 2025 році - 16000 грн);</w:t>
      </w:r>
    </w:p>
    <w:p w14:paraId="2F1AE724" w14:textId="0548CAED"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b/>
          <w:bCs/>
          <w:color w:val="000000" w:themeColor="text1"/>
          <w:sz w:val="24"/>
          <w:szCs w:val="24"/>
        </w:rPr>
        <w:lastRenderedPageBreak/>
        <w:t xml:space="preserve"> Якщо всі місця роздрібної торгівлі (АЗС чи магазини) розташовані поза межами обласних центрів</w:t>
      </w:r>
      <w:r w:rsidR="001B370A">
        <w:rPr>
          <w:rFonts w:ascii="Times New Roman" w:hAnsi="Times New Roman"/>
          <w:b/>
          <w:bCs/>
          <w:color w:val="000000" w:themeColor="text1"/>
          <w:sz w:val="24"/>
          <w:szCs w:val="24"/>
        </w:rPr>
        <w:t xml:space="preserve"> </w:t>
      </w:r>
      <w:r w:rsidRPr="00E45422">
        <w:rPr>
          <w:rFonts w:ascii="Times New Roman" w:hAnsi="Times New Roman"/>
          <w:color w:val="000000" w:themeColor="text1"/>
          <w:sz w:val="24"/>
          <w:szCs w:val="24"/>
        </w:rPr>
        <w:t>– на відстані від 50 км та менше  при площі торговельного залу до 500 м², такий розмір має становити не менше 1,5 розміру мінімальної заробітної плати </w:t>
      </w:r>
      <w:r w:rsidRPr="00E45422">
        <w:rPr>
          <w:rFonts w:ascii="Times New Roman" w:hAnsi="Times New Roman"/>
          <w:b/>
          <w:bCs/>
          <w:color w:val="000000" w:themeColor="text1"/>
          <w:sz w:val="24"/>
          <w:szCs w:val="24"/>
        </w:rPr>
        <w:t>(у 2025 році - 12000 грн).</w:t>
      </w:r>
    </w:p>
    <w:p w14:paraId="36220E0B" w14:textId="2A12BF71"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Для фізичних осіб-підприємців без найманих працівників, які отримали зазначені ліцензії:</w:t>
      </w:r>
    </w:p>
    <w:p w14:paraId="53819E27" w14:textId="6FD7BDD7"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розмір загального місячного оподатковуваного доходу має становити не менше 2 розмірів мінімальної заробітної плати, встановленої законом на 1 січня звітного (податкового) року (у 2025 році - 16000 грн);</w:t>
      </w:r>
    </w:p>
    <w:p w14:paraId="2E9D160F" w14:textId="27A89C44"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для торговельних точок, що знаходяться за межами обласних центрів (умови аналогічні до наведених вище), цей розмір має становити не менше 1,5 розміру мінімальної заробітної плати (у 2025 році - 12000 грн).</w:t>
      </w:r>
    </w:p>
    <w:p w14:paraId="5B6419C2" w14:textId="5D5883CC"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 xml:space="preserve"> У разі невиконання цих вимог протягом трьох повних календарних місяців поспіль факт порушення, встановлений контролюючим органом під час перевірки та зафіксований в акті, є підставою для анулювання ліцензії (пункти 49 та 50 частини другої статті 46 Закону 3817).</w:t>
      </w:r>
    </w:p>
    <w:p w14:paraId="2A3D1F4A" w14:textId="285FFC7E"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Ця норма набирає чинності з 1 жовтня 2025 року.</w:t>
      </w:r>
    </w:p>
    <w:p w14:paraId="05E61E5F" w14:textId="0A27E650" w:rsidR="00E45422" w:rsidRPr="001B370A" w:rsidRDefault="00E45422" w:rsidP="00E45422">
      <w:pPr>
        <w:pStyle w:val="a4"/>
        <w:ind w:firstLine="567"/>
        <w:jc w:val="both"/>
        <w:rPr>
          <w:rFonts w:ascii="Times New Roman" w:hAnsi="Times New Roman"/>
          <w:i/>
          <w:iCs/>
          <w:color w:val="000000" w:themeColor="text1"/>
          <w:sz w:val="24"/>
          <w:szCs w:val="24"/>
        </w:rPr>
      </w:pPr>
      <w:r w:rsidRPr="00E45422">
        <w:rPr>
          <w:rFonts w:ascii="Times New Roman" w:hAnsi="Times New Roman"/>
          <w:color w:val="000000" w:themeColor="text1"/>
          <w:sz w:val="24"/>
          <w:szCs w:val="24"/>
        </w:rPr>
        <w:t>Про виконання або про невиконання ліцензіатом (або потенційним ліцензіатом) вимоги щодо оплати праці  дізнаються  за допомогою </w:t>
      </w:r>
      <w:r w:rsidRPr="00E45422">
        <w:rPr>
          <w:rFonts w:ascii="Times New Roman" w:hAnsi="Times New Roman"/>
          <w:b/>
          <w:bCs/>
          <w:color w:val="000000" w:themeColor="text1"/>
          <w:sz w:val="24"/>
          <w:szCs w:val="24"/>
        </w:rPr>
        <w:t>звітності з ЄСВ, ПДФО та ВЗ</w:t>
      </w:r>
      <w:r w:rsidRPr="00E45422">
        <w:rPr>
          <w:rFonts w:ascii="Times New Roman" w:hAnsi="Times New Roman"/>
          <w:color w:val="000000" w:themeColor="text1"/>
          <w:sz w:val="24"/>
          <w:szCs w:val="24"/>
        </w:rPr>
        <w:t xml:space="preserve">. При цьому братимуть  не зарплату кожного </w:t>
      </w:r>
      <w:r w:rsidRPr="001B370A">
        <w:rPr>
          <w:rFonts w:ascii="Times New Roman" w:hAnsi="Times New Roman"/>
          <w:i/>
          <w:iCs/>
          <w:color w:val="000000" w:themeColor="text1"/>
          <w:sz w:val="24"/>
          <w:szCs w:val="24"/>
        </w:rPr>
        <w:t>працівника окремо, а</w:t>
      </w:r>
      <w:r w:rsidRPr="001B370A">
        <w:rPr>
          <w:rFonts w:ascii="Times New Roman" w:hAnsi="Times New Roman"/>
          <w:b/>
          <w:bCs/>
          <w:i/>
          <w:iCs/>
          <w:color w:val="000000" w:themeColor="text1"/>
          <w:sz w:val="24"/>
          <w:szCs w:val="24"/>
        </w:rPr>
        <w:t> середній показник оплати праці на одну людину</w:t>
      </w:r>
      <w:r w:rsidRPr="001B370A">
        <w:rPr>
          <w:rFonts w:ascii="Times New Roman" w:hAnsi="Times New Roman"/>
          <w:i/>
          <w:iCs/>
          <w:color w:val="000000" w:themeColor="text1"/>
          <w:sz w:val="24"/>
          <w:szCs w:val="24"/>
        </w:rPr>
        <w:t>. </w:t>
      </w:r>
    </w:p>
    <w:p w14:paraId="6827D6BC" w14:textId="36AA17E5" w:rsidR="00E45422" w:rsidRPr="00E45422" w:rsidRDefault="00E45422" w:rsidP="00E45422">
      <w:pPr>
        <w:pStyle w:val="a4"/>
        <w:ind w:firstLine="567"/>
        <w:jc w:val="both"/>
        <w:rPr>
          <w:rFonts w:ascii="Times New Roman" w:hAnsi="Times New Roman"/>
          <w:color w:val="000000" w:themeColor="text1"/>
          <w:sz w:val="24"/>
          <w:szCs w:val="24"/>
        </w:rPr>
      </w:pPr>
      <w:r w:rsidRPr="00E45422">
        <w:rPr>
          <w:rFonts w:ascii="Times New Roman" w:hAnsi="Times New Roman"/>
          <w:color w:val="000000" w:themeColor="text1"/>
          <w:sz w:val="24"/>
          <w:szCs w:val="24"/>
        </w:rPr>
        <w:t>Згідно зі </w:t>
      </w:r>
      <w:hyperlink r:id="rId50" w:anchor="st42" w:tgtFrame="_blank" w:history="1">
        <w:r w:rsidRPr="00E45422">
          <w:rPr>
            <w:rStyle w:val="a3"/>
            <w:rFonts w:ascii="Times New Roman" w:hAnsi="Times New Roman"/>
            <w:color w:val="000000" w:themeColor="text1"/>
            <w:sz w:val="24"/>
            <w:szCs w:val="24"/>
            <w:u w:val="none"/>
            <w:lang w:eastAsia="hi-IN" w:bidi="hi-IN"/>
          </w:rPr>
          <w:t>ст. 42 Закону №3817</w:t>
        </w:r>
      </w:hyperlink>
      <w:r w:rsidRPr="00E45422">
        <w:rPr>
          <w:rFonts w:ascii="Times New Roman" w:hAnsi="Times New Roman"/>
          <w:color w:val="000000" w:themeColor="text1"/>
          <w:sz w:val="24"/>
          <w:szCs w:val="24"/>
        </w:rPr>
        <w:t> розрахунок розміру середньої щомісячної заробітної плати, нарахованої суб’єктом господарювання, здійснюється відповідно до даних об’єднаної звітності з ЄСВ, ПДФО та ВЗ, шляхом ділення сумарно нарахованої заробітної плати, оплати перших п’яти днів тимчасової непрацездатності, що здійснюється за рахунок коштів платника податків, та допомоги по тимчасовій непрацездатності, яка виплачується за рахунок коштів ПФУ, на кількість застрахованих осіб у звітному періоді, яким нараховано заробітну плату (крім осіб, яким у звітному періоді нараховано грошове забезпечення).</w:t>
      </w:r>
    </w:p>
    <w:p w14:paraId="5B65DB4A" w14:textId="08F64B05" w:rsidR="00E45422" w:rsidRPr="00E45422" w:rsidRDefault="00E45422" w:rsidP="00E45422">
      <w:pPr>
        <w:pStyle w:val="a4"/>
        <w:ind w:firstLine="567"/>
        <w:jc w:val="both"/>
        <w:rPr>
          <w:rFonts w:ascii="Times New Roman" w:hAnsi="Times New Roman"/>
          <w:b/>
          <w:color w:val="000000" w:themeColor="text1"/>
          <w:sz w:val="24"/>
          <w:szCs w:val="24"/>
        </w:rPr>
      </w:pPr>
      <w:r w:rsidRPr="00E45422">
        <w:rPr>
          <w:rFonts w:ascii="Times New Roman" w:hAnsi="Times New Roman"/>
          <w:color w:val="000000" w:themeColor="text1"/>
          <w:sz w:val="24"/>
          <w:szCs w:val="24"/>
        </w:rPr>
        <w:t>Тобто податківці рахуватимуть так: </w:t>
      </w:r>
      <w:r w:rsidRPr="00E45422">
        <w:rPr>
          <w:rFonts w:ascii="Times New Roman" w:hAnsi="Times New Roman"/>
          <w:b/>
          <w:bCs/>
          <w:color w:val="000000" w:themeColor="text1"/>
          <w:sz w:val="24"/>
          <w:szCs w:val="24"/>
        </w:rPr>
        <w:t>(ряд. 1.1 + ряд.1.3 + ряд. 1.4) / ряд. 103.  П</w:t>
      </w:r>
      <w:r w:rsidRPr="00E45422">
        <w:rPr>
          <w:rFonts w:ascii="Times New Roman" w:hAnsi="Times New Roman"/>
          <w:color w:val="000000" w:themeColor="text1"/>
          <w:sz w:val="24"/>
          <w:szCs w:val="24"/>
        </w:rPr>
        <w:t>орушенням умов вважатиметься невиконання мінімального середнього розміру оплати праці </w:t>
      </w:r>
      <w:r w:rsidRPr="00E45422">
        <w:rPr>
          <w:rFonts w:ascii="Times New Roman" w:hAnsi="Times New Roman"/>
          <w:b/>
          <w:bCs/>
          <w:color w:val="000000" w:themeColor="text1"/>
          <w:sz w:val="24"/>
          <w:szCs w:val="24"/>
        </w:rPr>
        <w:t>протягом трьох місяців поспіль</w:t>
      </w:r>
      <w:r w:rsidRPr="00E45422">
        <w:rPr>
          <w:rFonts w:ascii="Times New Roman" w:hAnsi="Times New Roman"/>
          <w:color w:val="000000" w:themeColor="text1"/>
          <w:sz w:val="24"/>
          <w:szCs w:val="24"/>
        </w:rPr>
        <w:t>.  Здійснювати ж діяльність, яка потребує наявності ліцензії, після її анулювання або без її отримання, загрожує чималими санкціями.</w:t>
      </w:r>
      <w:r w:rsidRPr="00E45422">
        <w:rPr>
          <w:rFonts w:ascii="Times New Roman" w:hAnsi="Times New Roman"/>
          <w:b/>
          <w:color w:val="000000" w:themeColor="text1"/>
          <w:sz w:val="24"/>
          <w:szCs w:val="24"/>
        </w:rPr>
        <w:t xml:space="preserve"> </w:t>
      </w:r>
    </w:p>
    <w:p w14:paraId="6D9A7C6C" w14:textId="2850B2BE" w:rsidR="00E45422" w:rsidRPr="00E45422" w:rsidRDefault="00E45422" w:rsidP="00E45422">
      <w:pPr>
        <w:pStyle w:val="a4"/>
        <w:ind w:firstLine="567"/>
        <w:jc w:val="both"/>
        <w:rPr>
          <w:rFonts w:ascii="Times New Roman" w:hAnsi="Times New Roman"/>
          <w:i/>
          <w:color w:val="000000" w:themeColor="text1"/>
          <w:sz w:val="24"/>
          <w:szCs w:val="24"/>
        </w:rPr>
      </w:pPr>
      <w:r w:rsidRPr="00E45422">
        <w:rPr>
          <w:rFonts w:ascii="Times New Roman" w:hAnsi="Times New Roman"/>
          <w:b/>
          <w:color w:val="000000" w:themeColor="text1"/>
          <w:sz w:val="24"/>
          <w:szCs w:val="24"/>
        </w:rPr>
        <w:t>Невідповідність рівня </w:t>
      </w:r>
      <w:hyperlink r:id="rId51" w:tgtFrame="_blank" w:history="1">
        <w:r w:rsidRPr="00E45422">
          <w:rPr>
            <w:rStyle w:val="a3"/>
            <w:rFonts w:ascii="Times New Roman" w:hAnsi="Times New Roman"/>
            <w:b/>
            <w:color w:val="000000" w:themeColor="text1"/>
            <w:sz w:val="24"/>
            <w:szCs w:val="24"/>
            <w:u w:val="none"/>
            <w:lang w:eastAsia="hi-IN" w:bidi="hi-IN"/>
          </w:rPr>
          <w:t>заробітної плати</w:t>
        </w:r>
      </w:hyperlink>
      <w:r w:rsidRPr="00E45422">
        <w:rPr>
          <w:rFonts w:ascii="Times New Roman" w:hAnsi="Times New Roman"/>
          <w:b/>
          <w:color w:val="000000" w:themeColor="text1"/>
          <w:sz w:val="24"/>
          <w:szCs w:val="24"/>
        </w:rPr>
        <w:t xml:space="preserve"> найманих працівників та доходу </w:t>
      </w:r>
      <w:proofErr w:type="spellStart"/>
      <w:r w:rsidRPr="00E45422">
        <w:rPr>
          <w:rFonts w:ascii="Times New Roman" w:hAnsi="Times New Roman"/>
          <w:b/>
          <w:color w:val="000000" w:themeColor="text1"/>
          <w:sz w:val="24"/>
          <w:szCs w:val="24"/>
        </w:rPr>
        <w:t>ФОПа</w:t>
      </w:r>
      <w:proofErr w:type="spellEnd"/>
      <w:r w:rsidRPr="00E45422">
        <w:rPr>
          <w:rFonts w:ascii="Times New Roman" w:hAnsi="Times New Roman"/>
          <w:b/>
          <w:color w:val="000000" w:themeColor="text1"/>
          <w:sz w:val="24"/>
          <w:szCs w:val="24"/>
        </w:rPr>
        <w:t xml:space="preserve"> встановленим вимогам є підставою для анулювання ліцензії.</w:t>
      </w:r>
    </w:p>
    <w:p w14:paraId="19DCD671" w14:textId="77777777" w:rsidR="00A43209" w:rsidRPr="00E45422" w:rsidRDefault="00A43209" w:rsidP="00E45422">
      <w:pPr>
        <w:shd w:val="clear" w:color="auto" w:fill="FFFFFF"/>
        <w:spacing w:after="0" w:line="240" w:lineRule="auto"/>
        <w:ind w:firstLine="567"/>
        <w:jc w:val="both"/>
        <w:rPr>
          <w:rFonts w:ascii="Times New Roman" w:eastAsia="Times New Roman" w:hAnsi="Times New Roman"/>
          <w:b/>
          <w:bCs/>
          <w:color w:val="000000" w:themeColor="text1"/>
          <w:sz w:val="24"/>
          <w:szCs w:val="24"/>
          <w:lang w:eastAsia="uk-UA"/>
        </w:rPr>
      </w:pPr>
    </w:p>
    <w:p w14:paraId="4EA90D3D" w14:textId="3E91FD22"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
          <w:color w:val="000000" w:themeColor="text1"/>
          <w:sz w:val="24"/>
          <w:szCs w:val="24"/>
          <w:lang w:eastAsia="uk-UA"/>
        </w:rPr>
        <w:t>4</w:t>
      </w:r>
      <w:r w:rsidRPr="00E45422">
        <w:rPr>
          <w:rFonts w:ascii="Times New Roman" w:hAnsi="Times New Roman"/>
          <w:color w:val="000000" w:themeColor="text1"/>
          <w:sz w:val="24"/>
          <w:szCs w:val="24"/>
          <w:lang w:eastAsia="uk-UA"/>
        </w:rPr>
        <w:t>.</w:t>
      </w:r>
      <w:r w:rsidRPr="00E45422">
        <w:rPr>
          <w:rFonts w:ascii="Times New Roman" w:hAnsi="Times New Roman"/>
          <w:b/>
          <w:color w:val="000000" w:themeColor="text1"/>
          <w:sz w:val="24"/>
          <w:szCs w:val="24"/>
          <w:lang w:eastAsia="uk-UA"/>
        </w:rPr>
        <w:t>Використання авто у відрядженні</w:t>
      </w:r>
      <w:r w:rsidRPr="00E45422">
        <w:rPr>
          <w:rFonts w:ascii="Times New Roman" w:hAnsi="Times New Roman"/>
          <w:color w:val="000000" w:themeColor="text1"/>
          <w:sz w:val="24"/>
          <w:szCs w:val="24"/>
          <w:lang w:eastAsia="uk-UA"/>
        </w:rPr>
        <w:t>:  Компенсувати витрати на пальне працівнику, який використовує власне авто у відрядженні, </w:t>
      </w:r>
      <w:r w:rsidRPr="00E45422">
        <w:rPr>
          <w:rFonts w:ascii="Times New Roman" w:hAnsi="Times New Roman"/>
          <w:b/>
          <w:bCs/>
          <w:color w:val="000000" w:themeColor="text1"/>
          <w:sz w:val="24"/>
          <w:szCs w:val="24"/>
          <w:lang w:eastAsia="uk-UA"/>
        </w:rPr>
        <w:t>можна двома способами:</w:t>
      </w:r>
    </w:p>
    <w:p w14:paraId="466DB2CE" w14:textId="77777777"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Без оподаткування — якщо з працівником укладено договір оренди або позички автомобіля;</w:t>
      </w:r>
    </w:p>
    <w:p w14:paraId="797153E9" w14:textId="77777777"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З оподаткуванням як додаткове благо — якщо такий договір відсутній, і компенсація виплачується за рішенням керівника.</w:t>
      </w:r>
    </w:p>
    <w:p w14:paraId="0BAD1200" w14:textId="7D7ABBD0"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
          <w:bCs/>
          <w:color w:val="000000" w:themeColor="text1"/>
          <w:sz w:val="24"/>
          <w:szCs w:val="24"/>
          <w:lang w:eastAsia="uk-UA"/>
        </w:rPr>
        <w:t>Варіант 1: Відшкодування витрат на пальне без оподаткування (за наявності договору)</w:t>
      </w:r>
    </w:p>
    <w:p w14:paraId="09984353" w14:textId="25196203"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Використання автомобіля працівника у господарській діяльності підприємства має бути офіційно оформлене   шляхом укладення одного з таких договорів:</w:t>
      </w:r>
    </w:p>
    <w:p w14:paraId="315B78E8" w14:textId="7BE3AE9A"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
          <w:bCs/>
          <w:color w:val="000000" w:themeColor="text1"/>
          <w:sz w:val="24"/>
          <w:szCs w:val="24"/>
          <w:lang w:eastAsia="uk-UA"/>
        </w:rPr>
        <w:t>Договір оренди (найму):</w:t>
      </w:r>
      <w:r w:rsidRPr="00E45422">
        <w:rPr>
          <w:rFonts w:ascii="Times New Roman" w:hAnsi="Times New Roman"/>
          <w:color w:val="000000" w:themeColor="text1"/>
          <w:sz w:val="24"/>
          <w:szCs w:val="24"/>
          <w:lang w:eastAsia="uk-UA"/>
        </w:rPr>
        <w:t> За цим договором підприємство бере автомобіль у тимчасове платне користування.</w:t>
      </w:r>
    </w:p>
    <w:p w14:paraId="1D3A2723" w14:textId="305A8C75"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
          <w:bCs/>
          <w:color w:val="000000" w:themeColor="text1"/>
          <w:sz w:val="24"/>
          <w:szCs w:val="24"/>
          <w:lang w:eastAsia="uk-UA"/>
        </w:rPr>
        <w:t>Договір позички:</w:t>
      </w:r>
      <w:r w:rsidRPr="00E45422">
        <w:rPr>
          <w:rFonts w:ascii="Times New Roman" w:hAnsi="Times New Roman"/>
          <w:color w:val="000000" w:themeColor="text1"/>
          <w:sz w:val="24"/>
          <w:szCs w:val="24"/>
          <w:lang w:eastAsia="uk-UA"/>
        </w:rPr>
        <w:t> За цим договором автомобіль передається у безоплатне користування на визначений строк (</w:t>
      </w:r>
      <w:hyperlink r:id="rId52" w:anchor="st827" w:tgtFrame="_blank" w:history="1">
        <w:r w:rsidRPr="00E45422">
          <w:rPr>
            <w:rStyle w:val="a3"/>
            <w:rFonts w:ascii="Times New Roman" w:hAnsi="Times New Roman"/>
            <w:color w:val="000000" w:themeColor="text1"/>
            <w:sz w:val="24"/>
            <w:szCs w:val="24"/>
            <w:u w:val="none"/>
            <w:lang w:eastAsia="uk-UA"/>
          </w:rPr>
          <w:t>ст. 827 ЦКУ</w:t>
        </w:r>
      </w:hyperlink>
      <w:r w:rsidRPr="00E45422">
        <w:rPr>
          <w:rFonts w:ascii="Times New Roman" w:hAnsi="Times New Roman"/>
          <w:color w:val="000000" w:themeColor="text1"/>
          <w:sz w:val="24"/>
          <w:szCs w:val="24"/>
          <w:lang w:eastAsia="uk-UA"/>
        </w:rPr>
        <w:t>).</w:t>
      </w:r>
    </w:p>
    <w:p w14:paraId="5AFC2ECC" w14:textId="16EAEEF6" w:rsidR="0059491B" w:rsidRPr="00E45422" w:rsidRDefault="0059491B" w:rsidP="00E45422">
      <w:pPr>
        <w:shd w:val="clear" w:color="auto" w:fill="FFFFFF"/>
        <w:spacing w:after="0" w:line="240" w:lineRule="auto"/>
        <w:ind w:firstLine="567"/>
        <w:jc w:val="both"/>
        <w:rPr>
          <w:rFonts w:ascii="Times New Roman" w:eastAsia="Times New Roman" w:hAnsi="Times New Roman"/>
          <w:color w:val="000000" w:themeColor="text1"/>
          <w:sz w:val="24"/>
          <w:szCs w:val="24"/>
          <w:lang w:eastAsia="uk-UA"/>
        </w:rPr>
      </w:pPr>
      <w:r w:rsidRPr="00E45422">
        <w:rPr>
          <w:rFonts w:ascii="Times New Roman" w:eastAsia="Times New Roman" w:hAnsi="Times New Roman"/>
          <w:color w:val="000000" w:themeColor="text1"/>
          <w:sz w:val="24"/>
          <w:szCs w:val="24"/>
          <w:lang w:eastAsia="uk-UA"/>
        </w:rPr>
        <w:t xml:space="preserve">За наявності одного з цих договорів автомобіль набуває статусу службового на час відрядження. У такому разі відшкодування вартості пального, придбаного працівником для поїздки, не вважається його доходом і, відповідно, не оподатковується податком на доходи фізичних осіб (ПДФО) та військовим збором (ВЗ). Сама орендна плата за договором оренди є оподатковуваним доходом працівника, з якого утримується ПДФО (18%) та ВЗ (5%). Однак </w:t>
      </w:r>
      <w:r w:rsidRPr="00E45422">
        <w:rPr>
          <w:rFonts w:ascii="Times New Roman" w:eastAsia="Times New Roman" w:hAnsi="Times New Roman"/>
          <w:color w:val="000000" w:themeColor="text1"/>
          <w:sz w:val="24"/>
          <w:szCs w:val="24"/>
          <w:lang w:eastAsia="uk-UA"/>
        </w:rPr>
        <w:lastRenderedPageBreak/>
        <w:t>відшкодування вартості пального розглядається як звичайне відшкодування витрат на відрядження.</w:t>
      </w:r>
    </w:p>
    <w:p w14:paraId="179C3415" w14:textId="695D7EFF"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b/>
          <w:color w:val="000000" w:themeColor="text1"/>
          <w:sz w:val="24"/>
          <w:szCs w:val="24"/>
          <w:lang w:eastAsia="uk-UA"/>
        </w:rPr>
        <w:t>Варіант 2: Компенсація як додаткове благо (якщо договір не укладено</w:t>
      </w:r>
      <w:r w:rsidRPr="00E45422">
        <w:rPr>
          <w:rFonts w:ascii="Times New Roman" w:hAnsi="Times New Roman"/>
          <w:color w:val="000000" w:themeColor="text1"/>
          <w:sz w:val="24"/>
          <w:szCs w:val="24"/>
          <w:lang w:eastAsia="uk-UA"/>
        </w:rPr>
        <w:t>)</w:t>
      </w:r>
    </w:p>
    <w:p w14:paraId="5E86D9A7" w14:textId="7FD40B1E"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Така виплата оподатковується на підставі </w:t>
      </w:r>
      <w:proofErr w:type="spellStart"/>
      <w:r w:rsidRPr="00E45422">
        <w:rPr>
          <w:rFonts w:ascii="Times New Roman" w:hAnsi="Times New Roman"/>
          <w:color w:val="000000" w:themeColor="text1"/>
          <w:sz w:val="24"/>
          <w:szCs w:val="24"/>
          <w:lang w:eastAsia="uk-UA"/>
        </w:rPr>
        <w:fldChar w:fldCharType="begin"/>
      </w:r>
      <w:r w:rsidRPr="00E45422">
        <w:rPr>
          <w:rFonts w:ascii="Times New Roman" w:hAnsi="Times New Roman"/>
          <w:color w:val="000000" w:themeColor="text1"/>
          <w:sz w:val="24"/>
          <w:szCs w:val="24"/>
          <w:lang w:eastAsia="uk-UA"/>
        </w:rPr>
        <w:instrText xml:space="preserve"> HYPERLINK "https://docs.dtkt.ua/doc/1011.47.287?page=33&amp;_gl=1*izwfkb*_gcl_au*NTY2MjA1OTE5LjE3NTQ0MDcyNTc.*_ga*MTYwNTAzMTUwOS4xNzU0NDA3MjU5*_ga_KSM8D51C85*czE3NTgyNDIxNjUkbzkwJGcxJHQxNzU4MjQ0NDI0JGo3JGwwJGgw" \l "pn4826" \t "_blank" </w:instrText>
      </w:r>
      <w:r w:rsidRPr="00E45422">
        <w:rPr>
          <w:rFonts w:ascii="Times New Roman" w:hAnsi="Times New Roman"/>
          <w:color w:val="000000" w:themeColor="text1"/>
          <w:sz w:val="24"/>
          <w:szCs w:val="24"/>
          <w:lang w:eastAsia="uk-UA"/>
        </w:rPr>
        <w:fldChar w:fldCharType="separate"/>
      </w:r>
      <w:r w:rsidRPr="00E45422">
        <w:rPr>
          <w:rStyle w:val="a3"/>
          <w:rFonts w:ascii="Times New Roman" w:hAnsi="Times New Roman"/>
          <w:color w:val="000000" w:themeColor="text1"/>
          <w:sz w:val="24"/>
          <w:szCs w:val="24"/>
          <w:u w:val="none"/>
          <w:lang w:eastAsia="uk-UA"/>
        </w:rPr>
        <w:t>пп</w:t>
      </w:r>
      <w:proofErr w:type="spellEnd"/>
      <w:r w:rsidRPr="00E45422">
        <w:rPr>
          <w:rStyle w:val="a3"/>
          <w:rFonts w:ascii="Times New Roman" w:hAnsi="Times New Roman"/>
          <w:color w:val="000000" w:themeColor="text1"/>
          <w:sz w:val="24"/>
          <w:szCs w:val="24"/>
          <w:u w:val="none"/>
          <w:lang w:eastAsia="uk-UA"/>
        </w:rPr>
        <w:t xml:space="preserve">. «г» </w:t>
      </w:r>
      <w:proofErr w:type="spellStart"/>
      <w:r w:rsidRPr="00E45422">
        <w:rPr>
          <w:rStyle w:val="a3"/>
          <w:rFonts w:ascii="Times New Roman" w:hAnsi="Times New Roman"/>
          <w:color w:val="000000" w:themeColor="text1"/>
          <w:sz w:val="24"/>
          <w:szCs w:val="24"/>
          <w:u w:val="none"/>
          <w:lang w:eastAsia="uk-UA"/>
        </w:rPr>
        <w:t>пп</w:t>
      </w:r>
      <w:proofErr w:type="spellEnd"/>
      <w:r w:rsidRPr="00E45422">
        <w:rPr>
          <w:rStyle w:val="a3"/>
          <w:rFonts w:ascii="Times New Roman" w:hAnsi="Times New Roman"/>
          <w:color w:val="000000" w:themeColor="text1"/>
          <w:sz w:val="24"/>
          <w:szCs w:val="24"/>
          <w:u w:val="none"/>
          <w:lang w:eastAsia="uk-UA"/>
        </w:rPr>
        <w:t>. 164.2.17 ПКУ</w:t>
      </w:r>
      <w:r w:rsidRPr="00E45422">
        <w:rPr>
          <w:rFonts w:ascii="Times New Roman" w:hAnsi="Times New Roman"/>
          <w:color w:val="000000" w:themeColor="text1"/>
          <w:sz w:val="24"/>
          <w:szCs w:val="24"/>
          <w:lang w:eastAsia="uk-UA"/>
        </w:rPr>
        <w:fldChar w:fldCharType="end"/>
      </w:r>
      <w:r w:rsidRPr="00E45422">
        <w:rPr>
          <w:rFonts w:ascii="Times New Roman" w:hAnsi="Times New Roman"/>
          <w:color w:val="000000" w:themeColor="text1"/>
          <w:sz w:val="24"/>
          <w:szCs w:val="24"/>
          <w:lang w:eastAsia="uk-UA"/>
        </w:rPr>
        <w:t>: ПДФО за ставкою 18%;</w:t>
      </w:r>
    </w:p>
    <w:p w14:paraId="7658B534" w14:textId="6993586B"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Військовий збір за ставкою 5% (ставка чинна з 1 грудня 2024 року); ЄСВ на суму такої компенсації не нараховується; у звітності (Додаток 4ДФ) такий дохід відображається з ознакою доходу «126».</w:t>
      </w:r>
    </w:p>
    <w:p w14:paraId="442C8E6A" w14:textId="7D6B4647"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Документальне оформлення та облік:</w:t>
      </w:r>
    </w:p>
    <w:p w14:paraId="7C606287" w14:textId="664B7CB5"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При варіанті 1 (з договором): пальне оприбутковується на баланс підприємства (</w:t>
      </w:r>
      <w:proofErr w:type="spellStart"/>
      <w:r w:rsidRPr="00E45422">
        <w:rPr>
          <w:rFonts w:ascii="Times New Roman" w:hAnsi="Times New Roman"/>
          <w:color w:val="000000" w:themeColor="text1"/>
          <w:sz w:val="24"/>
          <w:szCs w:val="24"/>
          <w:lang w:eastAsia="uk-UA"/>
        </w:rPr>
        <w:t>Дт</w:t>
      </w:r>
      <w:proofErr w:type="spellEnd"/>
      <w:r w:rsidRPr="00E45422">
        <w:rPr>
          <w:rFonts w:ascii="Times New Roman" w:hAnsi="Times New Roman"/>
          <w:color w:val="000000" w:themeColor="text1"/>
          <w:sz w:val="24"/>
          <w:szCs w:val="24"/>
          <w:lang w:eastAsia="uk-UA"/>
        </w:rPr>
        <w:t xml:space="preserve"> 203 </w:t>
      </w:r>
      <w:proofErr w:type="spellStart"/>
      <w:r w:rsidRPr="00E45422">
        <w:rPr>
          <w:rFonts w:ascii="Times New Roman" w:hAnsi="Times New Roman"/>
          <w:color w:val="000000" w:themeColor="text1"/>
          <w:sz w:val="24"/>
          <w:szCs w:val="24"/>
          <w:lang w:eastAsia="uk-UA"/>
        </w:rPr>
        <w:t>Кт</w:t>
      </w:r>
      <w:proofErr w:type="spellEnd"/>
      <w:r w:rsidRPr="00E45422">
        <w:rPr>
          <w:rFonts w:ascii="Times New Roman" w:hAnsi="Times New Roman"/>
          <w:color w:val="000000" w:themeColor="text1"/>
          <w:sz w:val="24"/>
          <w:szCs w:val="24"/>
          <w:lang w:eastAsia="uk-UA"/>
        </w:rPr>
        <w:t xml:space="preserve"> 372) на підставі авансового звіту та </w:t>
      </w:r>
      <w:proofErr w:type="spellStart"/>
      <w:r w:rsidRPr="00E45422">
        <w:rPr>
          <w:rFonts w:ascii="Times New Roman" w:hAnsi="Times New Roman"/>
          <w:color w:val="000000" w:themeColor="text1"/>
          <w:sz w:val="24"/>
          <w:szCs w:val="24"/>
          <w:lang w:eastAsia="uk-UA"/>
        </w:rPr>
        <w:t>чеків</w:t>
      </w:r>
      <w:proofErr w:type="spellEnd"/>
      <w:r w:rsidRPr="00E45422">
        <w:rPr>
          <w:rFonts w:ascii="Times New Roman" w:hAnsi="Times New Roman"/>
          <w:color w:val="000000" w:themeColor="text1"/>
          <w:sz w:val="24"/>
          <w:szCs w:val="24"/>
          <w:lang w:eastAsia="uk-UA"/>
        </w:rPr>
        <w:t xml:space="preserve"> з АЗС, а потім списується на витрати (</w:t>
      </w:r>
      <w:proofErr w:type="spellStart"/>
      <w:r w:rsidRPr="00E45422">
        <w:rPr>
          <w:rFonts w:ascii="Times New Roman" w:hAnsi="Times New Roman"/>
          <w:color w:val="000000" w:themeColor="text1"/>
          <w:sz w:val="24"/>
          <w:szCs w:val="24"/>
          <w:lang w:eastAsia="uk-UA"/>
        </w:rPr>
        <w:t>Дт</w:t>
      </w:r>
      <w:proofErr w:type="spellEnd"/>
      <w:r w:rsidRPr="00E45422">
        <w:rPr>
          <w:rFonts w:ascii="Times New Roman" w:hAnsi="Times New Roman"/>
          <w:color w:val="000000" w:themeColor="text1"/>
          <w:sz w:val="24"/>
          <w:szCs w:val="24"/>
          <w:lang w:eastAsia="uk-UA"/>
        </w:rPr>
        <w:t xml:space="preserve"> 23, 91-94 </w:t>
      </w:r>
      <w:proofErr w:type="spellStart"/>
      <w:r w:rsidRPr="00E45422">
        <w:rPr>
          <w:rFonts w:ascii="Times New Roman" w:hAnsi="Times New Roman"/>
          <w:color w:val="000000" w:themeColor="text1"/>
          <w:sz w:val="24"/>
          <w:szCs w:val="24"/>
          <w:lang w:eastAsia="uk-UA"/>
        </w:rPr>
        <w:t>Кт</w:t>
      </w:r>
      <w:proofErr w:type="spellEnd"/>
      <w:r w:rsidRPr="00E45422">
        <w:rPr>
          <w:rFonts w:ascii="Times New Roman" w:hAnsi="Times New Roman"/>
          <w:color w:val="000000" w:themeColor="text1"/>
          <w:sz w:val="24"/>
          <w:szCs w:val="24"/>
          <w:lang w:eastAsia="uk-UA"/>
        </w:rPr>
        <w:t xml:space="preserve"> 203) на підставі подорожнього листа;</w:t>
      </w:r>
    </w:p>
    <w:p w14:paraId="18B0D612" w14:textId="0A462A28" w:rsidR="0059491B" w:rsidRPr="00E45422" w:rsidRDefault="0059491B" w:rsidP="00E45422">
      <w:pPr>
        <w:pStyle w:val="a4"/>
        <w:ind w:firstLine="567"/>
        <w:jc w:val="both"/>
        <w:rPr>
          <w:rFonts w:ascii="Times New Roman" w:hAnsi="Times New Roman"/>
          <w:color w:val="000000" w:themeColor="text1"/>
          <w:sz w:val="24"/>
          <w:szCs w:val="24"/>
          <w:lang w:eastAsia="uk-UA"/>
        </w:rPr>
      </w:pPr>
      <w:r w:rsidRPr="00E45422">
        <w:rPr>
          <w:rFonts w:ascii="Times New Roman" w:hAnsi="Times New Roman"/>
          <w:color w:val="000000" w:themeColor="text1"/>
          <w:sz w:val="24"/>
          <w:szCs w:val="24"/>
          <w:lang w:eastAsia="uk-UA"/>
        </w:rPr>
        <w:t>При варіанті 2 (без договору): компенсація нараховується як інша виплата працівнику (</w:t>
      </w:r>
      <w:proofErr w:type="spellStart"/>
      <w:r w:rsidRPr="00E45422">
        <w:rPr>
          <w:rFonts w:ascii="Times New Roman" w:hAnsi="Times New Roman"/>
          <w:color w:val="000000" w:themeColor="text1"/>
          <w:sz w:val="24"/>
          <w:szCs w:val="24"/>
          <w:lang w:eastAsia="uk-UA"/>
        </w:rPr>
        <w:t>Дт</w:t>
      </w:r>
      <w:proofErr w:type="spellEnd"/>
      <w:r w:rsidRPr="00E45422">
        <w:rPr>
          <w:rFonts w:ascii="Times New Roman" w:hAnsi="Times New Roman"/>
          <w:color w:val="000000" w:themeColor="text1"/>
          <w:sz w:val="24"/>
          <w:szCs w:val="24"/>
          <w:lang w:eastAsia="uk-UA"/>
        </w:rPr>
        <w:t xml:space="preserve"> 949 </w:t>
      </w:r>
      <w:proofErr w:type="spellStart"/>
      <w:r w:rsidRPr="00E45422">
        <w:rPr>
          <w:rFonts w:ascii="Times New Roman" w:hAnsi="Times New Roman"/>
          <w:color w:val="000000" w:themeColor="text1"/>
          <w:sz w:val="24"/>
          <w:szCs w:val="24"/>
          <w:lang w:eastAsia="uk-UA"/>
        </w:rPr>
        <w:t>Кт</w:t>
      </w:r>
      <w:proofErr w:type="spellEnd"/>
      <w:r w:rsidRPr="00E45422">
        <w:rPr>
          <w:rFonts w:ascii="Times New Roman" w:hAnsi="Times New Roman"/>
          <w:color w:val="000000" w:themeColor="text1"/>
          <w:sz w:val="24"/>
          <w:szCs w:val="24"/>
          <w:lang w:eastAsia="uk-UA"/>
        </w:rPr>
        <w:t xml:space="preserve"> 663), а не через розрахунки з підзвітними особами. Авансовий звіт для цієї суми не складається, а підставою для виплати є наказ керівника та підтвердні документи (чеки на пальне).</w:t>
      </w:r>
    </w:p>
    <w:p w14:paraId="53114249" w14:textId="77777777" w:rsidR="0059491B" w:rsidRPr="00E45422" w:rsidRDefault="0059491B" w:rsidP="00E45422">
      <w:pPr>
        <w:spacing w:after="0" w:line="240" w:lineRule="auto"/>
        <w:ind w:firstLine="567"/>
        <w:jc w:val="both"/>
        <w:rPr>
          <w:rFonts w:ascii="Times New Roman" w:eastAsia="Times New Roman" w:hAnsi="Times New Roman"/>
          <w:color w:val="000000" w:themeColor="text1"/>
          <w:sz w:val="24"/>
          <w:szCs w:val="24"/>
          <w:lang w:eastAsia="ru-RU"/>
        </w:rPr>
      </w:pPr>
    </w:p>
    <w:p w14:paraId="16A714F7" w14:textId="77777777" w:rsidR="0059491B" w:rsidRPr="00E45422" w:rsidRDefault="0059491B" w:rsidP="00E45422">
      <w:pPr>
        <w:widowControl w:val="0"/>
        <w:spacing w:after="0" w:line="240" w:lineRule="auto"/>
        <w:ind w:firstLine="567"/>
        <w:jc w:val="center"/>
        <w:rPr>
          <w:rFonts w:ascii="Times New Roman" w:hAnsi="Times New Roman"/>
          <w:b/>
          <w:bCs/>
          <w:color w:val="000000" w:themeColor="text1"/>
          <w:spacing w:val="16"/>
          <w:sz w:val="24"/>
          <w:szCs w:val="24"/>
        </w:rPr>
      </w:pPr>
    </w:p>
    <w:p w14:paraId="4F91B5C5" w14:textId="77777777" w:rsidR="009F708F" w:rsidRPr="00E45422" w:rsidRDefault="009F708F" w:rsidP="00E45422">
      <w:pPr>
        <w:spacing w:after="0" w:line="240" w:lineRule="auto"/>
        <w:ind w:firstLine="567"/>
        <w:rPr>
          <w:rFonts w:ascii="Times New Roman" w:hAnsi="Times New Roman"/>
          <w:b/>
          <w:color w:val="000000" w:themeColor="text1"/>
          <w:sz w:val="24"/>
          <w:szCs w:val="24"/>
        </w:rPr>
      </w:pPr>
    </w:p>
    <w:sectPr w:rsidR="009F708F" w:rsidRPr="00E45422">
      <w:footerReference w:type="default" r:id="rId5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94D4" w14:textId="77777777" w:rsidR="00FC646C" w:rsidRDefault="00FC646C" w:rsidP="00A461D7">
      <w:pPr>
        <w:spacing w:after="0" w:line="240" w:lineRule="auto"/>
      </w:pPr>
      <w:r>
        <w:separator/>
      </w:r>
    </w:p>
  </w:endnote>
  <w:endnote w:type="continuationSeparator" w:id="0">
    <w:p w14:paraId="42244CC0" w14:textId="77777777" w:rsidR="00FC646C" w:rsidRDefault="00FC646C" w:rsidP="00A4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851937"/>
      <w:docPartObj>
        <w:docPartGallery w:val="Page Numbers (Bottom of Page)"/>
        <w:docPartUnique/>
      </w:docPartObj>
    </w:sdtPr>
    <w:sdtEndPr/>
    <w:sdtContent>
      <w:p w14:paraId="3E3DD959" w14:textId="440B4B36" w:rsidR="00A461D7" w:rsidRDefault="00A461D7">
        <w:pPr>
          <w:pStyle w:val="aa"/>
          <w:jc w:val="center"/>
        </w:pPr>
        <w:r>
          <w:fldChar w:fldCharType="begin"/>
        </w:r>
        <w:r>
          <w:instrText>PAGE   \* MERGEFORMAT</w:instrText>
        </w:r>
        <w:r>
          <w:fldChar w:fldCharType="separate"/>
        </w:r>
        <w:r>
          <w:t>2</w:t>
        </w:r>
        <w:r>
          <w:fldChar w:fldCharType="end"/>
        </w:r>
      </w:p>
    </w:sdtContent>
  </w:sdt>
  <w:p w14:paraId="7EBADB0D" w14:textId="77777777" w:rsidR="00A461D7" w:rsidRDefault="00A461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599F" w14:textId="77777777" w:rsidR="00FC646C" w:rsidRDefault="00FC646C" w:rsidP="00A461D7">
      <w:pPr>
        <w:spacing w:after="0" w:line="240" w:lineRule="auto"/>
      </w:pPr>
      <w:r>
        <w:separator/>
      </w:r>
    </w:p>
  </w:footnote>
  <w:footnote w:type="continuationSeparator" w:id="0">
    <w:p w14:paraId="45CB1AE8" w14:textId="77777777" w:rsidR="00FC646C" w:rsidRDefault="00FC646C" w:rsidP="00A46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49DB"/>
    <w:multiLevelType w:val="multilevel"/>
    <w:tmpl w:val="253AA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3B86"/>
    <w:multiLevelType w:val="multilevel"/>
    <w:tmpl w:val="9BFE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7517"/>
    <w:multiLevelType w:val="multilevel"/>
    <w:tmpl w:val="7E1A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9030F"/>
    <w:multiLevelType w:val="multilevel"/>
    <w:tmpl w:val="0082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25650"/>
    <w:multiLevelType w:val="multilevel"/>
    <w:tmpl w:val="0FBC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F7A0A"/>
    <w:multiLevelType w:val="multilevel"/>
    <w:tmpl w:val="5B925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615B3"/>
    <w:multiLevelType w:val="multilevel"/>
    <w:tmpl w:val="7366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B4035"/>
    <w:multiLevelType w:val="multilevel"/>
    <w:tmpl w:val="DE702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E36E7"/>
    <w:multiLevelType w:val="multilevel"/>
    <w:tmpl w:val="0480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42244"/>
    <w:multiLevelType w:val="hybridMultilevel"/>
    <w:tmpl w:val="DB18D8F0"/>
    <w:lvl w:ilvl="0" w:tplc="71E618F4">
      <w:start w:val="1"/>
      <w:numFmt w:val="bullet"/>
      <w:lvlText w:val=""/>
      <w:lvlJc w:val="left"/>
      <w:pPr>
        <w:ind w:left="1429" w:hanging="360"/>
      </w:pPr>
      <w:rPr>
        <w:rFonts w:ascii="Symbol" w:hAnsi="Symbol" w:hint="default"/>
      </w:rPr>
    </w:lvl>
    <w:lvl w:ilvl="1" w:tplc="174C0518">
      <w:numFmt w:val="bullet"/>
      <w:lvlText w:val="-"/>
      <w:lvlJc w:val="left"/>
      <w:pPr>
        <w:ind w:left="2149" w:hanging="360"/>
      </w:pPr>
      <w:rPr>
        <w:rFonts w:ascii="Cambria" w:eastAsia="Times New Roman" w:hAnsi="Cambria"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5A123507"/>
    <w:multiLevelType w:val="multilevel"/>
    <w:tmpl w:val="138A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1572F"/>
    <w:multiLevelType w:val="multilevel"/>
    <w:tmpl w:val="E08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84E53"/>
    <w:multiLevelType w:val="multilevel"/>
    <w:tmpl w:val="2D3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4276A3"/>
    <w:multiLevelType w:val="multilevel"/>
    <w:tmpl w:val="325EC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8034C"/>
    <w:multiLevelType w:val="multilevel"/>
    <w:tmpl w:val="48EC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C80ED8"/>
    <w:multiLevelType w:val="hybridMultilevel"/>
    <w:tmpl w:val="2ECC9CD4"/>
    <w:lvl w:ilvl="0" w:tplc="71E618F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7A513C3E"/>
    <w:multiLevelType w:val="multilevel"/>
    <w:tmpl w:val="9A58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8"/>
  </w:num>
  <w:num w:numId="4">
    <w:abstractNumId w:val="11"/>
  </w:num>
  <w:num w:numId="5">
    <w:abstractNumId w:val="10"/>
  </w:num>
  <w:num w:numId="6">
    <w:abstractNumId w:val="3"/>
  </w:num>
  <w:num w:numId="7">
    <w:abstractNumId w:val="12"/>
  </w:num>
  <w:num w:numId="8">
    <w:abstractNumId w:val="14"/>
  </w:num>
  <w:num w:numId="9">
    <w:abstractNumId w:val="16"/>
  </w:num>
  <w:num w:numId="10">
    <w:abstractNumId w:val="6"/>
  </w:num>
  <w:num w:numId="11">
    <w:abstractNumId w:val="15"/>
  </w:num>
  <w:num w:numId="12">
    <w:abstractNumId w:val="9"/>
  </w:num>
  <w:num w:numId="13">
    <w:abstractNumId w:val="0"/>
  </w:num>
  <w:num w:numId="14">
    <w:abstractNumId w:val="4"/>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8B"/>
    <w:rsid w:val="001B370A"/>
    <w:rsid w:val="002818DA"/>
    <w:rsid w:val="002C428B"/>
    <w:rsid w:val="00460E6A"/>
    <w:rsid w:val="0059491B"/>
    <w:rsid w:val="00715207"/>
    <w:rsid w:val="00903A07"/>
    <w:rsid w:val="009F708F"/>
    <w:rsid w:val="00A40599"/>
    <w:rsid w:val="00A43209"/>
    <w:rsid w:val="00A461D7"/>
    <w:rsid w:val="00A865B2"/>
    <w:rsid w:val="00A9098A"/>
    <w:rsid w:val="00A945D0"/>
    <w:rsid w:val="00C13855"/>
    <w:rsid w:val="00C43AB3"/>
    <w:rsid w:val="00D34554"/>
    <w:rsid w:val="00DC114E"/>
    <w:rsid w:val="00E45422"/>
    <w:rsid w:val="00ED0C4A"/>
    <w:rsid w:val="00F972A3"/>
    <w:rsid w:val="00FC6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46A4"/>
  <w15:chartTrackingRefBased/>
  <w15:docId w15:val="{D35821E7-1F1F-4A2B-9DF8-6F42F944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E6A"/>
    <w:pPr>
      <w:spacing w:after="200" w:line="276" w:lineRule="auto"/>
      <w:ind w:firstLine="0"/>
    </w:pPr>
    <w:rPr>
      <w:rFonts w:ascii="Calibri" w:eastAsia="Calibri" w:hAnsi="Calibri" w:cs="Times New Roman"/>
    </w:rPr>
  </w:style>
  <w:style w:type="paragraph" w:styleId="1">
    <w:name w:val="heading 1"/>
    <w:basedOn w:val="a"/>
    <w:link w:val="10"/>
    <w:uiPriority w:val="9"/>
    <w:qFormat/>
    <w:rsid w:val="00A9098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link w:val="20"/>
    <w:uiPriority w:val="9"/>
    <w:qFormat/>
    <w:rsid w:val="00A9098A"/>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0E6A"/>
    <w:rPr>
      <w:color w:val="0563C1" w:themeColor="hyperlink"/>
      <w:u w:val="single"/>
    </w:rPr>
  </w:style>
  <w:style w:type="paragraph" w:styleId="a4">
    <w:name w:val="No Spacing"/>
    <w:uiPriority w:val="1"/>
    <w:qFormat/>
    <w:rsid w:val="00460E6A"/>
    <w:pPr>
      <w:ind w:firstLine="0"/>
    </w:pPr>
    <w:rPr>
      <w:rFonts w:ascii="Calibri" w:eastAsia="Calibri" w:hAnsi="Calibri" w:cs="Times New Roman"/>
    </w:rPr>
  </w:style>
  <w:style w:type="character" w:customStyle="1" w:styleId="10">
    <w:name w:val="Заголовок 1 Знак"/>
    <w:basedOn w:val="a0"/>
    <w:link w:val="1"/>
    <w:uiPriority w:val="9"/>
    <w:rsid w:val="00A9098A"/>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A9098A"/>
    <w:rPr>
      <w:rFonts w:ascii="Times New Roman" w:eastAsia="Times New Roman" w:hAnsi="Times New Roman" w:cs="Times New Roman"/>
      <w:b/>
      <w:bCs/>
      <w:sz w:val="36"/>
      <w:szCs w:val="36"/>
      <w:lang w:eastAsia="uk-UA"/>
    </w:rPr>
  </w:style>
  <w:style w:type="paragraph" w:styleId="a5">
    <w:name w:val="Normal (Web)"/>
    <w:basedOn w:val="a"/>
    <w:uiPriority w:val="99"/>
    <w:unhideWhenUsed/>
    <w:rsid w:val="00A9098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type-info">
    <w:name w:val="type-info"/>
    <w:basedOn w:val="a0"/>
    <w:rsid w:val="00A9098A"/>
  </w:style>
  <w:style w:type="character" w:customStyle="1" w:styleId="date-info">
    <w:name w:val="date-info"/>
    <w:basedOn w:val="a0"/>
    <w:rsid w:val="00A9098A"/>
  </w:style>
  <w:style w:type="character" w:customStyle="1" w:styleId="views-info">
    <w:name w:val="views-info"/>
    <w:basedOn w:val="a0"/>
    <w:rsid w:val="00A9098A"/>
  </w:style>
  <w:style w:type="character" w:styleId="a6">
    <w:name w:val="Strong"/>
    <w:basedOn w:val="a0"/>
    <w:uiPriority w:val="22"/>
    <w:qFormat/>
    <w:rsid w:val="00A9098A"/>
    <w:rPr>
      <w:b/>
      <w:bCs/>
    </w:rPr>
  </w:style>
  <w:style w:type="paragraph" w:styleId="a7">
    <w:name w:val="header"/>
    <w:basedOn w:val="a"/>
    <w:link w:val="a8"/>
    <w:uiPriority w:val="99"/>
    <w:unhideWhenUsed/>
    <w:rsid w:val="00A40599"/>
    <w:pPr>
      <w:tabs>
        <w:tab w:val="center" w:pos="4677"/>
        <w:tab w:val="right" w:pos="9355"/>
      </w:tabs>
      <w:spacing w:after="0" w:line="240" w:lineRule="auto"/>
    </w:pPr>
    <w:rPr>
      <w:rFonts w:asciiTheme="minorHAnsi" w:eastAsiaTheme="minorEastAsia" w:hAnsiTheme="minorHAnsi" w:cstheme="minorBidi"/>
      <w:lang w:val="ru-RU" w:eastAsia="ru-RU"/>
    </w:rPr>
  </w:style>
  <w:style w:type="character" w:customStyle="1" w:styleId="a8">
    <w:name w:val="Верхній колонтитул Знак"/>
    <w:basedOn w:val="a0"/>
    <w:link w:val="a7"/>
    <w:uiPriority w:val="99"/>
    <w:rsid w:val="00A40599"/>
    <w:rPr>
      <w:rFonts w:eastAsiaTheme="minorEastAsia"/>
      <w:lang w:val="ru-RU" w:eastAsia="ru-RU"/>
    </w:rPr>
  </w:style>
  <w:style w:type="paragraph" w:styleId="a9">
    <w:name w:val="List Paragraph"/>
    <w:basedOn w:val="a"/>
    <w:uiPriority w:val="34"/>
    <w:qFormat/>
    <w:rsid w:val="00903A07"/>
    <w:pPr>
      <w:ind w:left="720"/>
      <w:contextualSpacing/>
    </w:pPr>
  </w:style>
  <w:style w:type="paragraph" w:styleId="aa">
    <w:name w:val="footer"/>
    <w:basedOn w:val="a"/>
    <w:link w:val="ab"/>
    <w:uiPriority w:val="99"/>
    <w:unhideWhenUsed/>
    <w:rsid w:val="00A461D7"/>
    <w:pPr>
      <w:tabs>
        <w:tab w:val="center" w:pos="4819"/>
        <w:tab w:val="right" w:pos="9639"/>
      </w:tabs>
      <w:spacing w:after="0" w:line="240" w:lineRule="auto"/>
    </w:pPr>
  </w:style>
  <w:style w:type="character" w:customStyle="1" w:styleId="ab">
    <w:name w:val="Нижній колонтитул Знак"/>
    <w:basedOn w:val="a0"/>
    <w:link w:val="aa"/>
    <w:uiPriority w:val="99"/>
    <w:rsid w:val="00A461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2184">
      <w:bodyDiv w:val="1"/>
      <w:marLeft w:val="0"/>
      <w:marRight w:val="0"/>
      <w:marTop w:val="0"/>
      <w:marBottom w:val="0"/>
      <w:divBdr>
        <w:top w:val="none" w:sz="0" w:space="0" w:color="auto"/>
        <w:left w:val="none" w:sz="0" w:space="0" w:color="auto"/>
        <w:bottom w:val="none" w:sz="0" w:space="0" w:color="auto"/>
        <w:right w:val="none" w:sz="0" w:space="0" w:color="auto"/>
      </w:divBdr>
      <w:divsChild>
        <w:div w:id="771558919">
          <w:marLeft w:val="0"/>
          <w:marRight w:val="0"/>
          <w:marTop w:val="0"/>
          <w:marBottom w:val="0"/>
          <w:divBdr>
            <w:top w:val="none" w:sz="0" w:space="0" w:color="auto"/>
            <w:left w:val="none" w:sz="0" w:space="0" w:color="auto"/>
            <w:bottom w:val="single" w:sz="6" w:space="9" w:color="EDEDEF"/>
            <w:right w:val="none" w:sz="0" w:space="0" w:color="auto"/>
          </w:divBdr>
          <w:divsChild>
            <w:div w:id="288972024">
              <w:marLeft w:val="0"/>
              <w:marRight w:val="0"/>
              <w:marTop w:val="0"/>
              <w:marBottom w:val="0"/>
              <w:divBdr>
                <w:top w:val="none" w:sz="0" w:space="0" w:color="auto"/>
                <w:left w:val="none" w:sz="0" w:space="0" w:color="auto"/>
                <w:bottom w:val="none" w:sz="0" w:space="0" w:color="auto"/>
                <w:right w:val="none" w:sz="0" w:space="0" w:color="auto"/>
              </w:divBdr>
            </w:div>
          </w:divsChild>
        </w:div>
        <w:div w:id="987981253">
          <w:marLeft w:val="0"/>
          <w:marRight w:val="0"/>
          <w:marTop w:val="0"/>
          <w:marBottom w:val="0"/>
          <w:divBdr>
            <w:top w:val="none" w:sz="0" w:space="0" w:color="auto"/>
            <w:left w:val="none" w:sz="0" w:space="0" w:color="auto"/>
            <w:bottom w:val="none" w:sz="0" w:space="0" w:color="auto"/>
            <w:right w:val="none" w:sz="0" w:space="0" w:color="auto"/>
          </w:divBdr>
        </w:div>
        <w:div w:id="1904677709">
          <w:marLeft w:val="0"/>
          <w:marRight w:val="0"/>
          <w:marTop w:val="0"/>
          <w:marBottom w:val="600"/>
          <w:divBdr>
            <w:top w:val="none" w:sz="0" w:space="0" w:color="auto"/>
            <w:left w:val="none" w:sz="0" w:space="0" w:color="auto"/>
            <w:bottom w:val="none" w:sz="0" w:space="0" w:color="auto"/>
            <w:right w:val="none" w:sz="0" w:space="0" w:color="auto"/>
          </w:divBdr>
        </w:div>
        <w:div w:id="1856843716">
          <w:marLeft w:val="0"/>
          <w:marRight w:val="0"/>
          <w:marTop w:val="0"/>
          <w:marBottom w:val="450"/>
          <w:divBdr>
            <w:top w:val="single" w:sz="6" w:space="23" w:color="EDEDEF"/>
            <w:left w:val="single" w:sz="6" w:space="23" w:color="EDEDEF"/>
            <w:bottom w:val="single" w:sz="6" w:space="23" w:color="EDEDEF"/>
            <w:right w:val="single" w:sz="6" w:space="23" w:color="EDEDEF"/>
          </w:divBdr>
        </w:div>
      </w:divsChild>
    </w:div>
    <w:div w:id="190265433">
      <w:bodyDiv w:val="1"/>
      <w:marLeft w:val="0"/>
      <w:marRight w:val="0"/>
      <w:marTop w:val="0"/>
      <w:marBottom w:val="0"/>
      <w:divBdr>
        <w:top w:val="none" w:sz="0" w:space="0" w:color="auto"/>
        <w:left w:val="none" w:sz="0" w:space="0" w:color="auto"/>
        <w:bottom w:val="none" w:sz="0" w:space="0" w:color="auto"/>
        <w:right w:val="none" w:sz="0" w:space="0" w:color="auto"/>
      </w:divBdr>
    </w:div>
    <w:div w:id="278804462">
      <w:bodyDiv w:val="1"/>
      <w:marLeft w:val="0"/>
      <w:marRight w:val="0"/>
      <w:marTop w:val="0"/>
      <w:marBottom w:val="0"/>
      <w:divBdr>
        <w:top w:val="none" w:sz="0" w:space="0" w:color="auto"/>
        <w:left w:val="none" w:sz="0" w:space="0" w:color="auto"/>
        <w:bottom w:val="none" w:sz="0" w:space="0" w:color="auto"/>
        <w:right w:val="none" w:sz="0" w:space="0" w:color="auto"/>
      </w:divBdr>
    </w:div>
    <w:div w:id="324285750">
      <w:bodyDiv w:val="1"/>
      <w:marLeft w:val="0"/>
      <w:marRight w:val="0"/>
      <w:marTop w:val="0"/>
      <w:marBottom w:val="0"/>
      <w:divBdr>
        <w:top w:val="none" w:sz="0" w:space="0" w:color="auto"/>
        <w:left w:val="none" w:sz="0" w:space="0" w:color="auto"/>
        <w:bottom w:val="none" w:sz="0" w:space="0" w:color="auto"/>
        <w:right w:val="none" w:sz="0" w:space="0" w:color="auto"/>
      </w:divBdr>
    </w:div>
    <w:div w:id="346980073">
      <w:bodyDiv w:val="1"/>
      <w:marLeft w:val="0"/>
      <w:marRight w:val="0"/>
      <w:marTop w:val="0"/>
      <w:marBottom w:val="0"/>
      <w:divBdr>
        <w:top w:val="none" w:sz="0" w:space="0" w:color="auto"/>
        <w:left w:val="none" w:sz="0" w:space="0" w:color="auto"/>
        <w:bottom w:val="none" w:sz="0" w:space="0" w:color="auto"/>
        <w:right w:val="none" w:sz="0" w:space="0" w:color="auto"/>
      </w:divBdr>
    </w:div>
    <w:div w:id="375081109">
      <w:bodyDiv w:val="1"/>
      <w:marLeft w:val="0"/>
      <w:marRight w:val="0"/>
      <w:marTop w:val="0"/>
      <w:marBottom w:val="0"/>
      <w:divBdr>
        <w:top w:val="none" w:sz="0" w:space="0" w:color="auto"/>
        <w:left w:val="none" w:sz="0" w:space="0" w:color="auto"/>
        <w:bottom w:val="none" w:sz="0" w:space="0" w:color="auto"/>
        <w:right w:val="none" w:sz="0" w:space="0" w:color="auto"/>
      </w:divBdr>
    </w:div>
    <w:div w:id="590431223">
      <w:bodyDiv w:val="1"/>
      <w:marLeft w:val="0"/>
      <w:marRight w:val="0"/>
      <w:marTop w:val="0"/>
      <w:marBottom w:val="0"/>
      <w:divBdr>
        <w:top w:val="none" w:sz="0" w:space="0" w:color="auto"/>
        <w:left w:val="none" w:sz="0" w:space="0" w:color="auto"/>
        <w:bottom w:val="none" w:sz="0" w:space="0" w:color="auto"/>
        <w:right w:val="none" w:sz="0" w:space="0" w:color="auto"/>
      </w:divBdr>
    </w:div>
    <w:div w:id="627202558">
      <w:bodyDiv w:val="1"/>
      <w:marLeft w:val="0"/>
      <w:marRight w:val="0"/>
      <w:marTop w:val="0"/>
      <w:marBottom w:val="0"/>
      <w:divBdr>
        <w:top w:val="none" w:sz="0" w:space="0" w:color="auto"/>
        <w:left w:val="none" w:sz="0" w:space="0" w:color="auto"/>
        <w:bottom w:val="none" w:sz="0" w:space="0" w:color="auto"/>
        <w:right w:val="none" w:sz="0" w:space="0" w:color="auto"/>
      </w:divBdr>
    </w:div>
    <w:div w:id="642318856">
      <w:bodyDiv w:val="1"/>
      <w:marLeft w:val="0"/>
      <w:marRight w:val="0"/>
      <w:marTop w:val="0"/>
      <w:marBottom w:val="0"/>
      <w:divBdr>
        <w:top w:val="none" w:sz="0" w:space="0" w:color="auto"/>
        <w:left w:val="none" w:sz="0" w:space="0" w:color="auto"/>
        <w:bottom w:val="none" w:sz="0" w:space="0" w:color="auto"/>
        <w:right w:val="none" w:sz="0" w:space="0" w:color="auto"/>
      </w:divBdr>
    </w:div>
    <w:div w:id="678696626">
      <w:bodyDiv w:val="1"/>
      <w:marLeft w:val="0"/>
      <w:marRight w:val="0"/>
      <w:marTop w:val="0"/>
      <w:marBottom w:val="0"/>
      <w:divBdr>
        <w:top w:val="none" w:sz="0" w:space="0" w:color="auto"/>
        <w:left w:val="none" w:sz="0" w:space="0" w:color="auto"/>
        <w:bottom w:val="none" w:sz="0" w:space="0" w:color="auto"/>
        <w:right w:val="none" w:sz="0" w:space="0" w:color="auto"/>
      </w:divBdr>
    </w:div>
    <w:div w:id="701396623">
      <w:bodyDiv w:val="1"/>
      <w:marLeft w:val="0"/>
      <w:marRight w:val="0"/>
      <w:marTop w:val="0"/>
      <w:marBottom w:val="0"/>
      <w:divBdr>
        <w:top w:val="none" w:sz="0" w:space="0" w:color="auto"/>
        <w:left w:val="none" w:sz="0" w:space="0" w:color="auto"/>
        <w:bottom w:val="none" w:sz="0" w:space="0" w:color="auto"/>
        <w:right w:val="none" w:sz="0" w:space="0" w:color="auto"/>
      </w:divBdr>
    </w:div>
    <w:div w:id="725565055">
      <w:bodyDiv w:val="1"/>
      <w:marLeft w:val="0"/>
      <w:marRight w:val="0"/>
      <w:marTop w:val="0"/>
      <w:marBottom w:val="0"/>
      <w:divBdr>
        <w:top w:val="none" w:sz="0" w:space="0" w:color="auto"/>
        <w:left w:val="none" w:sz="0" w:space="0" w:color="auto"/>
        <w:bottom w:val="none" w:sz="0" w:space="0" w:color="auto"/>
        <w:right w:val="none" w:sz="0" w:space="0" w:color="auto"/>
      </w:divBdr>
    </w:div>
    <w:div w:id="925115138">
      <w:bodyDiv w:val="1"/>
      <w:marLeft w:val="0"/>
      <w:marRight w:val="0"/>
      <w:marTop w:val="0"/>
      <w:marBottom w:val="0"/>
      <w:divBdr>
        <w:top w:val="none" w:sz="0" w:space="0" w:color="auto"/>
        <w:left w:val="none" w:sz="0" w:space="0" w:color="auto"/>
        <w:bottom w:val="none" w:sz="0" w:space="0" w:color="auto"/>
        <w:right w:val="none" w:sz="0" w:space="0" w:color="auto"/>
      </w:divBdr>
    </w:div>
    <w:div w:id="970749183">
      <w:bodyDiv w:val="1"/>
      <w:marLeft w:val="0"/>
      <w:marRight w:val="0"/>
      <w:marTop w:val="0"/>
      <w:marBottom w:val="0"/>
      <w:divBdr>
        <w:top w:val="none" w:sz="0" w:space="0" w:color="auto"/>
        <w:left w:val="none" w:sz="0" w:space="0" w:color="auto"/>
        <w:bottom w:val="none" w:sz="0" w:space="0" w:color="auto"/>
        <w:right w:val="none" w:sz="0" w:space="0" w:color="auto"/>
      </w:divBdr>
    </w:div>
    <w:div w:id="1423406413">
      <w:bodyDiv w:val="1"/>
      <w:marLeft w:val="0"/>
      <w:marRight w:val="0"/>
      <w:marTop w:val="0"/>
      <w:marBottom w:val="0"/>
      <w:divBdr>
        <w:top w:val="none" w:sz="0" w:space="0" w:color="auto"/>
        <w:left w:val="none" w:sz="0" w:space="0" w:color="auto"/>
        <w:bottom w:val="none" w:sz="0" w:space="0" w:color="auto"/>
        <w:right w:val="none" w:sz="0" w:space="0" w:color="auto"/>
      </w:divBdr>
    </w:div>
    <w:div w:id="1424182328">
      <w:bodyDiv w:val="1"/>
      <w:marLeft w:val="0"/>
      <w:marRight w:val="0"/>
      <w:marTop w:val="0"/>
      <w:marBottom w:val="0"/>
      <w:divBdr>
        <w:top w:val="none" w:sz="0" w:space="0" w:color="auto"/>
        <w:left w:val="none" w:sz="0" w:space="0" w:color="auto"/>
        <w:bottom w:val="none" w:sz="0" w:space="0" w:color="auto"/>
        <w:right w:val="none" w:sz="0" w:space="0" w:color="auto"/>
      </w:divBdr>
    </w:div>
    <w:div w:id="1511599313">
      <w:bodyDiv w:val="1"/>
      <w:marLeft w:val="0"/>
      <w:marRight w:val="0"/>
      <w:marTop w:val="0"/>
      <w:marBottom w:val="0"/>
      <w:divBdr>
        <w:top w:val="none" w:sz="0" w:space="0" w:color="auto"/>
        <w:left w:val="none" w:sz="0" w:space="0" w:color="auto"/>
        <w:bottom w:val="none" w:sz="0" w:space="0" w:color="auto"/>
        <w:right w:val="none" w:sz="0" w:space="0" w:color="auto"/>
      </w:divBdr>
    </w:div>
    <w:div w:id="1573737905">
      <w:bodyDiv w:val="1"/>
      <w:marLeft w:val="0"/>
      <w:marRight w:val="0"/>
      <w:marTop w:val="0"/>
      <w:marBottom w:val="0"/>
      <w:divBdr>
        <w:top w:val="none" w:sz="0" w:space="0" w:color="auto"/>
        <w:left w:val="none" w:sz="0" w:space="0" w:color="auto"/>
        <w:bottom w:val="none" w:sz="0" w:space="0" w:color="auto"/>
        <w:right w:val="none" w:sz="0" w:space="0" w:color="auto"/>
      </w:divBdr>
    </w:div>
    <w:div w:id="1666743768">
      <w:bodyDiv w:val="1"/>
      <w:marLeft w:val="0"/>
      <w:marRight w:val="0"/>
      <w:marTop w:val="0"/>
      <w:marBottom w:val="0"/>
      <w:divBdr>
        <w:top w:val="none" w:sz="0" w:space="0" w:color="auto"/>
        <w:left w:val="none" w:sz="0" w:space="0" w:color="auto"/>
        <w:bottom w:val="none" w:sz="0" w:space="0" w:color="auto"/>
        <w:right w:val="none" w:sz="0" w:space="0" w:color="auto"/>
      </w:divBdr>
    </w:div>
    <w:div w:id="1687555532">
      <w:bodyDiv w:val="1"/>
      <w:marLeft w:val="0"/>
      <w:marRight w:val="0"/>
      <w:marTop w:val="0"/>
      <w:marBottom w:val="0"/>
      <w:divBdr>
        <w:top w:val="none" w:sz="0" w:space="0" w:color="auto"/>
        <w:left w:val="none" w:sz="0" w:space="0" w:color="auto"/>
        <w:bottom w:val="none" w:sz="0" w:space="0" w:color="auto"/>
        <w:right w:val="none" w:sz="0" w:space="0" w:color="auto"/>
      </w:divBdr>
    </w:div>
    <w:div w:id="1721324235">
      <w:bodyDiv w:val="1"/>
      <w:marLeft w:val="0"/>
      <w:marRight w:val="0"/>
      <w:marTop w:val="0"/>
      <w:marBottom w:val="0"/>
      <w:divBdr>
        <w:top w:val="none" w:sz="0" w:space="0" w:color="auto"/>
        <w:left w:val="none" w:sz="0" w:space="0" w:color="auto"/>
        <w:bottom w:val="none" w:sz="0" w:space="0" w:color="auto"/>
        <w:right w:val="none" w:sz="0" w:space="0" w:color="auto"/>
      </w:divBdr>
    </w:div>
    <w:div w:id="1860699176">
      <w:bodyDiv w:val="1"/>
      <w:marLeft w:val="0"/>
      <w:marRight w:val="0"/>
      <w:marTop w:val="0"/>
      <w:marBottom w:val="0"/>
      <w:divBdr>
        <w:top w:val="none" w:sz="0" w:space="0" w:color="auto"/>
        <w:left w:val="none" w:sz="0" w:space="0" w:color="auto"/>
        <w:bottom w:val="none" w:sz="0" w:space="0" w:color="auto"/>
        <w:right w:val="none" w:sz="0" w:space="0" w:color="auto"/>
      </w:divBdr>
    </w:div>
    <w:div w:id="20982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dtkt.ua/doc/1165-2019-%D0%BF" TargetMode="External"/><Relationship Id="rId18" Type="http://schemas.openxmlformats.org/officeDocument/2006/relationships/hyperlink" Target="https://docs.dtkt.ua/doc/4196-20" TargetMode="External"/><Relationship Id="rId26" Type="http://schemas.openxmlformats.org/officeDocument/2006/relationships/hyperlink" Target="https://docs.dtkt.ua/doc/435-15?page=10" TargetMode="External"/><Relationship Id="rId39" Type="http://schemas.openxmlformats.org/officeDocument/2006/relationships/hyperlink" Target="https://docs.dtkt.ua/doc/435-15?page=12" TargetMode="External"/><Relationship Id="rId21" Type="http://schemas.openxmlformats.org/officeDocument/2006/relationships/hyperlink" Target="https://docs.dtkt.ua/doc/436-15?page=7" TargetMode="External"/><Relationship Id="rId34" Type="http://schemas.openxmlformats.org/officeDocument/2006/relationships/hyperlink" Target="https://docs.dtkt.ua/doc/436-15?page=8" TargetMode="External"/><Relationship Id="rId42" Type="http://schemas.openxmlformats.org/officeDocument/2006/relationships/hyperlink" Target="https://docs.dtkt.ua/doc/1011.47.292?page=17" TargetMode="External"/><Relationship Id="rId47" Type="http://schemas.openxmlformats.org/officeDocument/2006/relationships/hyperlink" Target="https://docs.dtkt.ua/doc/1011.47.292?page=78" TargetMode="External"/><Relationship Id="rId50" Type="http://schemas.openxmlformats.org/officeDocument/2006/relationships/hyperlink" Target="https://docs.dtkt.ua/doc/3817-20?page=8" TargetMode="External"/><Relationship Id="rId55" Type="http://schemas.openxmlformats.org/officeDocument/2006/relationships/theme" Target="theme/theme1.xml"/><Relationship Id="rId7" Type="http://schemas.openxmlformats.org/officeDocument/2006/relationships/hyperlink" Target="https://docs.dtkt.ua/doc/2275-19?page=1" TargetMode="External"/><Relationship Id="rId2" Type="http://schemas.openxmlformats.org/officeDocument/2006/relationships/styles" Target="styles.xml"/><Relationship Id="rId16" Type="http://schemas.openxmlformats.org/officeDocument/2006/relationships/hyperlink" Target="https://blank.dtkt.ua/blank/183" TargetMode="External"/><Relationship Id="rId29" Type="http://schemas.openxmlformats.org/officeDocument/2006/relationships/hyperlink" Target="https://docs.dtkt.ua/doc/436-15?page=8" TargetMode="External"/><Relationship Id="rId11" Type="http://schemas.openxmlformats.org/officeDocument/2006/relationships/hyperlink" Target="https://blank.dtkt.ua/blank/183" TargetMode="External"/><Relationship Id="rId24" Type="http://schemas.openxmlformats.org/officeDocument/2006/relationships/hyperlink" Target="https://docs.dtkt.ua/doc/436-15?page=8" TargetMode="External"/><Relationship Id="rId32" Type="http://schemas.openxmlformats.org/officeDocument/2006/relationships/hyperlink" Target="https://docs.dtkt.ua/doc/435-15?page=10" TargetMode="External"/><Relationship Id="rId37" Type="http://schemas.openxmlformats.org/officeDocument/2006/relationships/hyperlink" Target="https://docs.dtkt.ua/doc/435-15?page=12" TargetMode="External"/><Relationship Id="rId40" Type="http://schemas.openxmlformats.org/officeDocument/2006/relationships/hyperlink" Target="https://docs.dtkt.ua/doc/435-15?page=12" TargetMode="External"/><Relationship Id="rId45" Type="http://schemas.openxmlformats.org/officeDocument/2006/relationships/hyperlink" Target="https://docs.dtkt.ua/doc/2464-17"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s.dtkt.ua/doc/435-15?page=6" TargetMode="External"/><Relationship Id="rId19" Type="http://schemas.openxmlformats.org/officeDocument/2006/relationships/hyperlink" Target="https://dtkt.ua/dictionary/g/2025-gospodarski-tovaristva" TargetMode="External"/><Relationship Id="rId31" Type="http://schemas.openxmlformats.org/officeDocument/2006/relationships/hyperlink" Target="https://docs.dtkt.ua/doc/435-15?page=10" TargetMode="External"/><Relationship Id="rId44" Type="http://schemas.openxmlformats.org/officeDocument/2006/relationships/hyperlink" Target="https://docs.dtkt.ua/doc/1011.47.292?page=62" TargetMode="External"/><Relationship Id="rId52" Type="http://schemas.openxmlformats.org/officeDocument/2006/relationships/hyperlink" Target="https://docs.dtkt.ua/doc/435-15?page=15&amp;_gl=1*15yyt2c*_gcl_au*NTY2MjA1OTE5LjE3NTQ0MDcyNTc.*_ga*MTYwNTAzMTUwOS4xNzU0NDA3MjU5*_ga_KSM8D51C85*czE3NTgyNDIxNjUkbzkwJGcxJHQxNzU4MjQ0Mzc1JGo1NiRsMCRoMA.." TargetMode="External"/><Relationship Id="rId4" Type="http://schemas.openxmlformats.org/officeDocument/2006/relationships/webSettings" Target="webSettings.xml"/><Relationship Id="rId9" Type="http://schemas.openxmlformats.org/officeDocument/2006/relationships/hyperlink" Target="https://docs.dtkt.ua/doc/1037.537.0?_gl=1*1bmsoef*_gcl_au*NTY2MjA1OTE5LjE3NTQ0MDcyNTc.*_ga*MTYwNTAzMTUwOS4xNzU0NDA3MjU5*_ga_KSM8D51C85*czE3NTgxMDQ3NzYkbzg1JGcxJHQxNzU4MTA2ODA2JGo0MCRsMCRoMA.." TargetMode="External"/><Relationship Id="rId14" Type="http://schemas.openxmlformats.org/officeDocument/2006/relationships/hyperlink" Target="https://blank.dtkt.ua/blank/183" TargetMode="External"/><Relationship Id="rId22" Type="http://schemas.openxmlformats.org/officeDocument/2006/relationships/hyperlink" Target="https://docs.dtkt.ua/doc/435-15?page=2" TargetMode="External"/><Relationship Id="rId27" Type="http://schemas.openxmlformats.org/officeDocument/2006/relationships/hyperlink" Target="https://docs.dtkt.ua/doc/435-15?page=10" TargetMode="External"/><Relationship Id="rId30" Type="http://schemas.openxmlformats.org/officeDocument/2006/relationships/hyperlink" Target="https://docs.dtkt.ua/doc/435-15?page=7" TargetMode="External"/><Relationship Id="rId35" Type="http://schemas.openxmlformats.org/officeDocument/2006/relationships/hyperlink" Target="https://docs.dtkt.ua/doc/435-15?page=11" TargetMode="External"/><Relationship Id="rId43" Type="http://schemas.openxmlformats.org/officeDocument/2006/relationships/hyperlink" Target="https://docs.dtkt.ua/doc/1011.47.292?page=62" TargetMode="External"/><Relationship Id="rId48" Type="http://schemas.openxmlformats.org/officeDocument/2006/relationships/hyperlink" Target="https://dtkt.ua/dictionary/m/22895-miscevi-podatki" TargetMode="External"/><Relationship Id="rId8" Type="http://schemas.openxmlformats.org/officeDocument/2006/relationships/hyperlink" Target="https://docs.dtkt.ua/doc/2275-19?page=1" TargetMode="External"/><Relationship Id="rId51" Type="http://schemas.openxmlformats.org/officeDocument/2006/relationships/hyperlink" Target="https://dtkt.ua/dictionary/z/3333-zarobitna-plata" TargetMode="External"/><Relationship Id="rId3" Type="http://schemas.openxmlformats.org/officeDocument/2006/relationships/settings" Target="settings.xml"/><Relationship Id="rId12" Type="http://schemas.openxmlformats.org/officeDocument/2006/relationships/hyperlink" Target="https://blank.dtkt.ua/blank/190" TargetMode="External"/><Relationship Id="rId17" Type="http://schemas.openxmlformats.org/officeDocument/2006/relationships/hyperlink" Target="https://blank.dtkt.ua/blank/190" TargetMode="External"/><Relationship Id="rId25" Type="http://schemas.openxmlformats.org/officeDocument/2006/relationships/hyperlink" Target="https://docs.dtkt.ua/doc/435-15" TargetMode="External"/><Relationship Id="rId33" Type="http://schemas.openxmlformats.org/officeDocument/2006/relationships/hyperlink" Target="https://docs.dtkt.ua/doc/435-15?page=12" TargetMode="External"/><Relationship Id="rId38" Type="http://schemas.openxmlformats.org/officeDocument/2006/relationships/hyperlink" Target="https://docs.dtkt.ua/doc/435-15?page=12" TargetMode="External"/><Relationship Id="rId46" Type="http://schemas.openxmlformats.org/officeDocument/2006/relationships/hyperlink" Target="https://blank.dtkt.ua/blank/183" TargetMode="External"/><Relationship Id="rId20" Type="http://schemas.openxmlformats.org/officeDocument/2006/relationships/hyperlink" Target="https://docs.dtkt.ua/doc/4196-20" TargetMode="External"/><Relationship Id="rId41" Type="http://schemas.openxmlformats.org/officeDocument/2006/relationships/hyperlink" Target="https://docs.dtkt.ua/doc/435-15?page=1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lank.dtkt.ua/blank/190" TargetMode="External"/><Relationship Id="rId23" Type="http://schemas.openxmlformats.org/officeDocument/2006/relationships/hyperlink" Target="https://docs.dtkt.ua/doc/435-15?page=2" TargetMode="External"/><Relationship Id="rId28" Type="http://schemas.openxmlformats.org/officeDocument/2006/relationships/hyperlink" Target="https://docs.dtkt.ua/doc/435-15?page=12" TargetMode="External"/><Relationship Id="rId36" Type="http://schemas.openxmlformats.org/officeDocument/2006/relationships/hyperlink" Target="https://docs.dtkt.ua/doc/435-15?page=12" TargetMode="External"/><Relationship Id="rId49" Type="http://schemas.openxmlformats.org/officeDocument/2006/relationships/hyperlink" Target="https://docs.dtkt.ua/doc/2755-17?page=6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9</Pages>
  <Words>21840</Words>
  <Characters>12449</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Левицька</dc:creator>
  <cp:keywords/>
  <dc:description/>
  <cp:lastModifiedBy>Світлана Левицька</cp:lastModifiedBy>
  <cp:revision>18</cp:revision>
  <cp:lastPrinted>2025-10-05T06:06:00Z</cp:lastPrinted>
  <dcterms:created xsi:type="dcterms:W3CDTF">2025-08-24T15:05:00Z</dcterms:created>
  <dcterms:modified xsi:type="dcterms:W3CDTF">2025-10-13T17:11:00Z</dcterms:modified>
</cp:coreProperties>
</file>