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02" w:rsidRPr="00BF1E02" w:rsidRDefault="00BF1E02" w:rsidP="00BF1E02">
      <w:pPr>
        <w:jc w:val="center"/>
        <w:rPr>
          <w:rFonts w:ascii="Bookman Old Style" w:hAnsi="Bookman Old Style"/>
          <w:b/>
          <w:sz w:val="44"/>
          <w:szCs w:val="44"/>
          <w:lang w:val="uk-UA"/>
          <w14:shadow w14:blurRad="50800" w14:dist="38100" w14:dir="2700000" w14:sx="100000" w14:sy="100000" w14:kx="0" w14:ky="0" w14:algn="tl">
            <w14:srgbClr w14:val="000000">
              <w14:alpha w14:val="60000"/>
            </w14:srgbClr>
          </w14:shadow>
        </w:rPr>
      </w:pPr>
      <w:r w:rsidRPr="00BF1E02">
        <w:rPr>
          <w:rFonts w:ascii="Bookman Old Style" w:hAnsi="Bookman Old Style"/>
          <w:b/>
          <w:sz w:val="44"/>
          <w:szCs w:val="44"/>
          <w:lang w:val="uk-UA"/>
          <w14:shadow w14:blurRad="50800" w14:dist="38100" w14:dir="2700000" w14:sx="100000" w14:sy="100000" w14:kx="0" w14:ky="0" w14:algn="tl">
            <w14:srgbClr w14:val="000000">
              <w14:alpha w14:val="60000"/>
            </w14:srgbClr>
          </w14:shadow>
        </w:rPr>
        <w:t>РІВНЕНСЬКА ОБЛАСНА РАДА</w:t>
      </w:r>
    </w:p>
    <w:p w:rsidR="00BF1E02" w:rsidRPr="00BF1E02" w:rsidRDefault="00BF1E02" w:rsidP="00BF1E02">
      <w:pPr>
        <w:jc w:val="center"/>
        <w:rPr>
          <w:rFonts w:ascii="Bookman Old Style" w:hAnsi="Bookman Old Style"/>
          <w:sz w:val="36"/>
          <w:szCs w:val="36"/>
          <w:lang w:val="uk-UA"/>
          <w14:shadow w14:blurRad="50800" w14:dist="38100" w14:dir="2700000" w14:sx="100000" w14:sy="100000" w14:kx="0" w14:ky="0" w14:algn="tl">
            <w14:srgbClr w14:val="000000">
              <w14:alpha w14:val="60000"/>
            </w14:srgbClr>
          </w14:shadow>
        </w:rPr>
      </w:pPr>
      <w:r w:rsidRPr="00BF1E02">
        <w:rPr>
          <w:rFonts w:ascii="Bookman Old Style" w:hAnsi="Bookman Old Style"/>
          <w:sz w:val="36"/>
          <w:szCs w:val="36"/>
          <w:lang w:val="uk-UA"/>
          <w14:shadow w14:blurRad="50800" w14:dist="38100" w14:dir="2700000" w14:sx="100000" w14:sy="100000" w14:kx="0" w14:ky="0" w14:algn="tl">
            <w14:srgbClr w14:val="000000">
              <w14:alpha w14:val="60000"/>
            </w14:srgbClr>
          </w14:shadow>
        </w:rPr>
        <w:t xml:space="preserve">ПОСТІЙНА КОМІСІЯ З ЕКОНОМІЧНИХ ПИТАНЬ </w:t>
      </w:r>
    </w:p>
    <w:p w:rsidR="00BF1E02" w:rsidRPr="00BF1E02" w:rsidRDefault="00BF1E02" w:rsidP="00BF1E02">
      <w:pPr>
        <w:jc w:val="center"/>
        <w:rPr>
          <w:rFonts w:ascii="Bookman Old Style" w:hAnsi="Bookman Old Style"/>
          <w:sz w:val="36"/>
          <w:szCs w:val="36"/>
          <w:lang w:val="uk-UA"/>
          <w14:shadow w14:blurRad="50800" w14:dist="38100" w14:dir="2700000" w14:sx="100000" w14:sy="100000" w14:kx="0" w14:ky="0" w14:algn="tl">
            <w14:srgbClr w14:val="000000">
              <w14:alpha w14:val="60000"/>
            </w14:srgbClr>
          </w14:shadow>
        </w:rPr>
      </w:pPr>
      <w:r w:rsidRPr="00BF1E02">
        <w:rPr>
          <w:rFonts w:ascii="Bookman Old Style" w:hAnsi="Bookman Old Style"/>
          <w:sz w:val="36"/>
          <w:szCs w:val="36"/>
          <w:lang w:val="uk-UA"/>
          <w14:shadow w14:blurRad="50800" w14:dist="38100" w14:dir="2700000" w14:sx="100000" w14:sy="100000" w14:kx="0" w14:ky="0" w14:algn="tl">
            <w14:srgbClr w14:val="000000">
              <w14:alpha w14:val="60000"/>
            </w14:srgbClr>
          </w14:shadow>
        </w:rPr>
        <w:t>ТА КОМУНАЛЬНОЇ ВЛАСНОСТІ</w:t>
      </w:r>
    </w:p>
    <w:p w:rsidR="00BF1E02" w:rsidRPr="007D4067" w:rsidRDefault="00BF1E02" w:rsidP="00BF1E02">
      <w:pPr>
        <w:tabs>
          <w:tab w:val="left" w:pos="9356"/>
        </w:tabs>
        <w:jc w:val="center"/>
        <w:rPr>
          <w:b/>
          <w:i/>
          <w:lang w:val="uk-UA"/>
        </w:rPr>
      </w:pPr>
      <w:r w:rsidRPr="007D4067">
        <w:rPr>
          <w:b/>
          <w:i/>
          <w:lang w:val="uk-UA"/>
        </w:rPr>
        <w:t>Майдан Просвіти, 1, м. Рівне, 33013. Тел. (036-2) 26-18-44, факс (036-2) 69-51-82. Е-</w:t>
      </w:r>
      <w:proofErr w:type="spellStart"/>
      <w:r w:rsidRPr="007D4067">
        <w:rPr>
          <w:b/>
          <w:i/>
          <w:lang w:val="uk-UA"/>
        </w:rPr>
        <w:t>mail</w:t>
      </w:r>
      <w:proofErr w:type="spellEnd"/>
      <w:r w:rsidRPr="007D4067">
        <w:rPr>
          <w:b/>
          <w:i/>
          <w:lang w:val="uk-UA"/>
        </w:rPr>
        <w:t xml:space="preserve">: </w:t>
      </w:r>
      <w:proofErr w:type="spellStart"/>
      <w:r w:rsidRPr="007D4067">
        <w:rPr>
          <w:b/>
          <w:i/>
          <w:sz w:val="18"/>
          <w:szCs w:val="18"/>
          <w:lang w:val="uk-UA"/>
        </w:rPr>
        <w:t>komynalna@r</w:t>
      </w:r>
      <w:proofErr w:type="spellEnd"/>
      <w:r w:rsidRPr="007D4067">
        <w:rPr>
          <w:b/>
          <w:i/>
          <w:sz w:val="18"/>
          <w:szCs w:val="18"/>
          <w:lang w:val="en-US"/>
        </w:rPr>
        <w:t>or</w:t>
      </w:r>
      <w:r w:rsidRPr="007D4067">
        <w:rPr>
          <w:b/>
          <w:i/>
          <w:sz w:val="18"/>
          <w:szCs w:val="18"/>
          <w:lang w:val="uk-UA"/>
        </w:rPr>
        <w:t>.</w:t>
      </w:r>
      <w:proofErr w:type="spellStart"/>
      <w:r w:rsidRPr="007D4067">
        <w:rPr>
          <w:b/>
          <w:i/>
          <w:sz w:val="18"/>
          <w:szCs w:val="18"/>
          <w:lang w:val="en-US"/>
        </w:rPr>
        <w:t>gov</w:t>
      </w:r>
      <w:proofErr w:type="spellEnd"/>
      <w:r w:rsidRPr="007D4067">
        <w:rPr>
          <w:b/>
          <w:i/>
          <w:sz w:val="18"/>
          <w:szCs w:val="18"/>
          <w:lang w:val="uk-UA"/>
        </w:rPr>
        <w:t>.ua</w:t>
      </w:r>
    </w:p>
    <w:tbl>
      <w:tblPr>
        <w:tblW w:w="9923" w:type="dxa"/>
        <w:tblInd w:w="-34" w:type="dxa"/>
        <w:tblBorders>
          <w:top w:val="thinThickSmallGap" w:sz="24" w:space="0" w:color="auto"/>
        </w:tblBorders>
        <w:tblLayout w:type="fixed"/>
        <w:tblLook w:val="0000" w:firstRow="0" w:lastRow="0" w:firstColumn="0" w:lastColumn="0" w:noHBand="0" w:noVBand="0"/>
      </w:tblPr>
      <w:tblGrid>
        <w:gridCol w:w="9923"/>
      </w:tblGrid>
      <w:tr w:rsidR="00BF1E02" w:rsidRPr="007D4067" w:rsidTr="00671A93">
        <w:tblPrEx>
          <w:tblCellMar>
            <w:top w:w="0" w:type="dxa"/>
            <w:bottom w:w="0" w:type="dxa"/>
          </w:tblCellMar>
        </w:tblPrEx>
        <w:trPr>
          <w:trHeight w:val="20"/>
        </w:trPr>
        <w:tc>
          <w:tcPr>
            <w:tcW w:w="9923" w:type="dxa"/>
          </w:tcPr>
          <w:p w:rsidR="00BF1E02" w:rsidRPr="007D4067" w:rsidRDefault="00BF1E02" w:rsidP="00671A93">
            <w:pPr>
              <w:jc w:val="center"/>
              <w:rPr>
                <w:b/>
                <w:sz w:val="28"/>
                <w:szCs w:val="28"/>
                <w:lang w:val="uk-UA"/>
              </w:rPr>
            </w:pPr>
          </w:p>
          <w:p w:rsidR="00BF1E02" w:rsidRPr="007D4067" w:rsidRDefault="00BF1E02" w:rsidP="00671A93">
            <w:pPr>
              <w:jc w:val="center"/>
              <w:rPr>
                <w:b/>
                <w:sz w:val="28"/>
                <w:szCs w:val="28"/>
                <w:lang w:val="uk-UA"/>
              </w:rPr>
            </w:pPr>
            <w:r w:rsidRPr="007D4067">
              <w:rPr>
                <w:b/>
                <w:sz w:val="28"/>
                <w:szCs w:val="28"/>
                <w:lang w:val="uk-UA"/>
              </w:rPr>
              <w:t>Р Е К О М Е Н Д А Ц І Ї</w:t>
            </w:r>
          </w:p>
          <w:p w:rsidR="00BF1E02" w:rsidRPr="007D4067" w:rsidRDefault="00BF1E02" w:rsidP="00671A93">
            <w:pPr>
              <w:jc w:val="center"/>
              <w:rPr>
                <w:sz w:val="28"/>
                <w:szCs w:val="28"/>
                <w:lang w:val="uk-UA"/>
              </w:rPr>
            </w:pPr>
            <w:r w:rsidRPr="007D4067">
              <w:rPr>
                <w:b/>
                <w:sz w:val="28"/>
                <w:szCs w:val="28"/>
                <w:lang w:val="uk-UA"/>
              </w:rPr>
              <w:t>засідання постійної комісії</w:t>
            </w:r>
          </w:p>
        </w:tc>
      </w:tr>
    </w:tbl>
    <w:p w:rsidR="00BF1E02" w:rsidRPr="00B57CA9" w:rsidRDefault="00BF1E02" w:rsidP="00BF1E02">
      <w:pPr>
        <w:tabs>
          <w:tab w:val="left" w:pos="0"/>
        </w:tabs>
        <w:rPr>
          <w:b/>
          <w:sz w:val="16"/>
          <w:szCs w:val="16"/>
          <w:lang w:val="uk-UA"/>
        </w:rPr>
      </w:pPr>
    </w:p>
    <w:p w:rsidR="00BF1E02" w:rsidRDefault="00BF1E02" w:rsidP="00BF1E02">
      <w:pPr>
        <w:rPr>
          <w:b/>
          <w:color w:val="000000"/>
          <w:sz w:val="28"/>
          <w:szCs w:val="28"/>
          <w:lang w:val="uk-UA"/>
        </w:rPr>
      </w:pPr>
    </w:p>
    <w:p w:rsidR="00BF1E02" w:rsidRDefault="00BF1E02" w:rsidP="00BF1E02">
      <w:pPr>
        <w:rPr>
          <w:b/>
          <w:color w:val="000000"/>
          <w:sz w:val="28"/>
          <w:szCs w:val="28"/>
          <w:lang w:val="uk-UA"/>
        </w:rPr>
      </w:pPr>
    </w:p>
    <w:p w:rsidR="00BF1E02" w:rsidRPr="009E3B5D" w:rsidRDefault="00BF1E02" w:rsidP="00BF1E02">
      <w:pPr>
        <w:rPr>
          <w:b/>
          <w:sz w:val="26"/>
          <w:szCs w:val="26"/>
          <w:lang w:val="uk-UA"/>
        </w:rPr>
      </w:pPr>
      <w:r>
        <w:rPr>
          <w:b/>
          <w:color w:val="000000"/>
          <w:sz w:val="28"/>
          <w:szCs w:val="28"/>
          <w:lang w:val="uk-UA"/>
        </w:rPr>
        <w:t xml:space="preserve"> 23 квітня </w:t>
      </w:r>
      <w:r w:rsidRPr="00430E39">
        <w:rPr>
          <w:b/>
          <w:color w:val="000000"/>
          <w:sz w:val="28"/>
          <w:szCs w:val="28"/>
          <w:lang w:val="uk-UA"/>
        </w:rPr>
        <w:t>2025 року</w:t>
      </w:r>
      <w:r w:rsidRPr="00206C74">
        <w:rPr>
          <w:b/>
          <w:color w:val="FF0000"/>
          <w:sz w:val="26"/>
          <w:szCs w:val="26"/>
          <w:lang w:val="uk-UA"/>
        </w:rPr>
        <w:t xml:space="preserve">  </w:t>
      </w:r>
      <w:r w:rsidRPr="00206C74">
        <w:rPr>
          <w:b/>
          <w:color w:val="FF0000"/>
          <w:sz w:val="26"/>
          <w:szCs w:val="26"/>
          <w:lang w:val="uk-UA"/>
        </w:rPr>
        <w:tab/>
        <w:t xml:space="preserve">                                                                                       </w:t>
      </w:r>
      <w:r>
        <w:rPr>
          <w:b/>
          <w:color w:val="FF0000"/>
          <w:sz w:val="26"/>
          <w:szCs w:val="26"/>
          <w:lang w:val="uk-UA"/>
        </w:rPr>
        <w:t xml:space="preserve">          </w:t>
      </w:r>
      <w:r w:rsidRPr="009E3B5D">
        <w:rPr>
          <w:b/>
          <w:sz w:val="28"/>
          <w:szCs w:val="28"/>
          <w:lang w:val="uk-UA"/>
        </w:rPr>
        <w:t xml:space="preserve">№ </w:t>
      </w:r>
      <w:r>
        <w:rPr>
          <w:b/>
          <w:sz w:val="28"/>
          <w:szCs w:val="28"/>
          <w:lang w:val="uk-UA"/>
        </w:rPr>
        <w:t>6</w:t>
      </w:r>
    </w:p>
    <w:p w:rsidR="00BF1E02" w:rsidRPr="00E4014A" w:rsidRDefault="00BF1E02" w:rsidP="00BF1E02">
      <w:pPr>
        <w:tabs>
          <w:tab w:val="num" w:pos="0"/>
        </w:tabs>
        <w:rPr>
          <w:b/>
          <w:sz w:val="28"/>
          <w:szCs w:val="28"/>
          <w:lang w:val="uk-UA"/>
        </w:rPr>
      </w:pPr>
      <w:r w:rsidRPr="00E4014A">
        <w:rPr>
          <w:b/>
          <w:sz w:val="28"/>
          <w:szCs w:val="28"/>
          <w:lang w:val="uk-UA"/>
        </w:rPr>
        <w:tab/>
      </w:r>
      <w:r w:rsidRPr="00E4014A">
        <w:rPr>
          <w:b/>
          <w:sz w:val="28"/>
          <w:szCs w:val="28"/>
          <w:lang w:val="uk-UA"/>
        </w:rPr>
        <w:tab/>
        <w:t xml:space="preserve">                               </w:t>
      </w:r>
    </w:p>
    <w:tbl>
      <w:tblPr>
        <w:tblW w:w="0" w:type="auto"/>
        <w:tblLook w:val="04A0" w:firstRow="1" w:lastRow="0" w:firstColumn="1" w:lastColumn="0" w:noHBand="0" w:noVBand="1"/>
      </w:tblPr>
      <w:tblGrid>
        <w:gridCol w:w="6013"/>
      </w:tblGrid>
      <w:tr w:rsidR="00BF1E02" w:rsidRPr="00E4014A" w:rsidTr="00671A93">
        <w:trPr>
          <w:trHeight w:val="2619"/>
        </w:trPr>
        <w:tc>
          <w:tcPr>
            <w:tcW w:w="6013" w:type="dxa"/>
            <w:shd w:val="clear" w:color="auto" w:fill="auto"/>
          </w:tcPr>
          <w:p w:rsidR="00BF1E02" w:rsidRPr="00E4014A" w:rsidRDefault="00BF1E02" w:rsidP="00671A93">
            <w:pPr>
              <w:autoSpaceDE w:val="0"/>
              <w:autoSpaceDN w:val="0"/>
              <w:adjustRightInd w:val="0"/>
              <w:jc w:val="both"/>
              <w:rPr>
                <w:rFonts w:eastAsia="Calibri" w:cs="Calibri"/>
                <w:b/>
                <w:bCs/>
                <w:iCs/>
                <w:sz w:val="28"/>
                <w:szCs w:val="28"/>
                <w:lang w:val="uk-UA"/>
              </w:rPr>
            </w:pPr>
            <w:r w:rsidRPr="00E4014A">
              <w:rPr>
                <w:rFonts w:eastAsia="Calibri" w:cs="Calibri"/>
                <w:b/>
                <w:sz w:val="28"/>
                <w:szCs w:val="28"/>
                <w:lang w:val="uk-UA" w:eastAsia="uk-UA"/>
              </w:rPr>
              <w:t>Про</w:t>
            </w:r>
            <w:r w:rsidRPr="00E4014A">
              <w:rPr>
                <w:rFonts w:eastAsia="Calibri" w:cs="Calibri"/>
                <w:sz w:val="28"/>
                <w:szCs w:val="28"/>
                <w:lang w:val="uk-UA" w:eastAsia="uk-UA"/>
              </w:rPr>
              <w:t xml:space="preserve"> </w:t>
            </w:r>
            <w:r w:rsidRPr="00B00B81">
              <w:rPr>
                <w:rFonts w:eastAsia="Calibri" w:cs="Calibri"/>
                <w:b/>
                <w:bCs/>
                <w:iCs/>
                <w:sz w:val="28"/>
                <w:szCs w:val="28"/>
                <w:lang w:val="uk-UA"/>
              </w:rPr>
              <w:t>експертний висновок щодо регуляторного впливу проєкту регуляторного акта «Про затвердження Правил приймання стічних вод до систем централізованого водовідведення Рівненського обласного виробничого</w:t>
            </w:r>
            <w:r w:rsidRPr="00DF002A">
              <w:rPr>
                <w:rFonts w:eastAsia="Calibri" w:cs="Calibri"/>
                <w:b/>
                <w:bCs/>
                <w:iCs/>
                <w:sz w:val="28"/>
                <w:szCs w:val="28"/>
              </w:rPr>
              <w:t xml:space="preserve"> </w:t>
            </w:r>
            <w:r>
              <w:rPr>
                <w:rFonts w:eastAsia="Calibri" w:cs="Calibri"/>
                <w:b/>
                <w:bCs/>
                <w:iCs/>
                <w:sz w:val="28"/>
                <w:szCs w:val="28"/>
                <w:lang w:val="uk-UA"/>
              </w:rPr>
              <w:t>комунального</w:t>
            </w:r>
            <w:r w:rsidRPr="00B00B81">
              <w:rPr>
                <w:rFonts w:eastAsia="Calibri" w:cs="Calibri"/>
                <w:b/>
                <w:bCs/>
                <w:iCs/>
                <w:sz w:val="28"/>
                <w:szCs w:val="28"/>
                <w:lang w:val="uk-UA"/>
              </w:rPr>
              <w:t xml:space="preserve"> підприємства водопровідно-каналізаційного господарства «Рівнеоблводоканал»</w:t>
            </w:r>
          </w:p>
          <w:p w:rsidR="00BF1E02" w:rsidRPr="00E4014A" w:rsidRDefault="00BF1E02" w:rsidP="00671A93">
            <w:pPr>
              <w:rPr>
                <w:rFonts w:eastAsia="Calibri" w:cs="Calibri"/>
                <w:b/>
                <w:sz w:val="28"/>
                <w:szCs w:val="28"/>
                <w:lang w:val="uk-UA"/>
              </w:rPr>
            </w:pPr>
          </w:p>
        </w:tc>
      </w:tr>
    </w:tbl>
    <w:p w:rsidR="00BF1E02" w:rsidRPr="00E4014A" w:rsidRDefault="00BF1E02" w:rsidP="00BF1E02">
      <w:pPr>
        <w:rPr>
          <w:b/>
          <w:sz w:val="28"/>
          <w:szCs w:val="28"/>
          <w:lang w:val="uk-UA"/>
        </w:rPr>
      </w:pPr>
      <w:r w:rsidRPr="00E4014A">
        <w:rPr>
          <w:b/>
          <w:sz w:val="28"/>
          <w:szCs w:val="28"/>
          <w:lang w:val="uk-UA"/>
        </w:rPr>
        <w:t xml:space="preserve">                                  </w:t>
      </w:r>
      <w:r w:rsidRPr="00E4014A">
        <w:rPr>
          <w:b/>
          <w:sz w:val="28"/>
          <w:szCs w:val="28"/>
          <w:lang w:val="uk-UA"/>
        </w:rPr>
        <w:tab/>
      </w:r>
      <w:r w:rsidRPr="00E4014A">
        <w:rPr>
          <w:b/>
          <w:sz w:val="28"/>
          <w:szCs w:val="28"/>
          <w:lang w:val="uk-UA"/>
        </w:rPr>
        <w:tab/>
        <w:t xml:space="preserve">                               </w:t>
      </w:r>
    </w:p>
    <w:p w:rsidR="00BF1E02" w:rsidRPr="00E4014A" w:rsidRDefault="00BF1E02" w:rsidP="00BF1E02">
      <w:pPr>
        <w:autoSpaceDE w:val="0"/>
        <w:autoSpaceDN w:val="0"/>
        <w:adjustRightInd w:val="0"/>
        <w:ind w:firstLine="567"/>
        <w:jc w:val="both"/>
        <w:rPr>
          <w:sz w:val="28"/>
          <w:szCs w:val="28"/>
          <w:lang w:val="uk-UA"/>
        </w:rPr>
      </w:pPr>
      <w:r w:rsidRPr="00976029">
        <w:rPr>
          <w:color w:val="000000"/>
          <w:sz w:val="28"/>
          <w:szCs w:val="28"/>
          <w:lang w:val="uk-UA" w:eastAsia="uk-UA"/>
        </w:rPr>
        <w:t>Заслухавши та обговоривши</w:t>
      </w:r>
      <w:r w:rsidRPr="00976029">
        <w:rPr>
          <w:color w:val="000000"/>
          <w:sz w:val="28"/>
          <w:szCs w:val="28"/>
          <w:lang w:val="uk-UA"/>
        </w:rPr>
        <w:t xml:space="preserve"> інформацію</w:t>
      </w:r>
      <w:r w:rsidRPr="00E4014A">
        <w:rPr>
          <w:sz w:val="28"/>
          <w:szCs w:val="28"/>
          <w:lang w:val="uk-UA"/>
        </w:rPr>
        <w:t xml:space="preserve"> про </w:t>
      </w:r>
      <w:r w:rsidRPr="00E4014A">
        <w:rPr>
          <w:rFonts w:eastAsia="Calibri"/>
          <w:bCs/>
          <w:iCs/>
          <w:sz w:val="28"/>
          <w:szCs w:val="28"/>
          <w:lang w:val="uk-UA"/>
        </w:rPr>
        <w:t>експертний висновок щодо регуляторного впливу проєкту регуляторного акта «</w:t>
      </w:r>
      <w:r w:rsidRPr="00E4014A">
        <w:rPr>
          <w:bCs/>
          <w:iCs/>
          <w:sz w:val="28"/>
          <w:szCs w:val="28"/>
          <w:lang w:val="uk-UA"/>
        </w:rPr>
        <w:t>Про затвердження Правил приймання стічних вод до систем централізованого водовідведення Рівненського обласного виробничого</w:t>
      </w:r>
      <w:r>
        <w:rPr>
          <w:bCs/>
          <w:iCs/>
          <w:sz w:val="28"/>
          <w:szCs w:val="28"/>
          <w:lang w:val="uk-UA"/>
        </w:rPr>
        <w:t xml:space="preserve"> комунального</w:t>
      </w:r>
      <w:r w:rsidRPr="00E4014A">
        <w:rPr>
          <w:bCs/>
          <w:iCs/>
          <w:sz w:val="28"/>
          <w:szCs w:val="28"/>
          <w:lang w:val="uk-UA"/>
        </w:rPr>
        <w:t xml:space="preserve"> підприємства водопровідно-каналізаційного господарства «Рівнеоблводоканал</w:t>
      </w:r>
      <w:r w:rsidRPr="00E4014A">
        <w:rPr>
          <w:rFonts w:eastAsia="Calibri"/>
          <w:bCs/>
          <w:iCs/>
          <w:sz w:val="28"/>
          <w:szCs w:val="28"/>
          <w:lang w:val="uk-UA"/>
        </w:rPr>
        <w:t>»</w:t>
      </w:r>
      <w:r w:rsidRPr="00E4014A">
        <w:rPr>
          <w:sz w:val="28"/>
          <w:szCs w:val="28"/>
          <w:lang w:val="uk-UA"/>
        </w:rPr>
        <w:t>,</w:t>
      </w:r>
      <w:r w:rsidRPr="00E4014A">
        <w:rPr>
          <w:color w:val="000000"/>
          <w:sz w:val="28"/>
          <w:szCs w:val="28"/>
          <w:lang w:val="uk-UA"/>
        </w:rPr>
        <w:t xml:space="preserve"> </w:t>
      </w:r>
      <w:r w:rsidRPr="00E4014A">
        <w:rPr>
          <w:sz w:val="28"/>
          <w:szCs w:val="28"/>
          <w:lang w:val="uk-UA"/>
        </w:rPr>
        <w:t>керуючись Законом України «Про</w:t>
      </w:r>
      <w:r w:rsidRPr="00E4014A">
        <w:rPr>
          <w:rFonts w:eastAsia="Calibri"/>
          <w:sz w:val="28"/>
          <w:szCs w:val="28"/>
          <w:lang w:val="uk-UA" w:eastAsia="en-US"/>
        </w:rPr>
        <w:t xml:space="preserve"> засади державної регуляторної політики у сфері господарської діяльності</w:t>
      </w:r>
      <w:r w:rsidRPr="00E4014A">
        <w:rPr>
          <w:sz w:val="28"/>
          <w:szCs w:val="28"/>
          <w:lang w:val="uk-UA"/>
        </w:rPr>
        <w:t>»</w:t>
      </w:r>
      <w:r w:rsidRPr="00E4014A">
        <w:rPr>
          <w:color w:val="000000"/>
          <w:sz w:val="28"/>
          <w:szCs w:val="28"/>
          <w:lang w:val="uk-UA"/>
        </w:rPr>
        <w:t xml:space="preserve"> </w:t>
      </w:r>
      <w:r w:rsidRPr="00E4014A">
        <w:rPr>
          <w:sz w:val="28"/>
          <w:szCs w:val="28"/>
          <w:lang w:val="uk-UA"/>
        </w:rPr>
        <w:t>та Законом України «Про місцеве самоврядування в Україні», постійна комісія</w:t>
      </w:r>
    </w:p>
    <w:p w:rsidR="00BF1E02" w:rsidRPr="00E4014A" w:rsidRDefault="00BF1E02" w:rsidP="00BF1E02">
      <w:pPr>
        <w:tabs>
          <w:tab w:val="left" w:pos="284"/>
          <w:tab w:val="left" w:pos="709"/>
        </w:tabs>
        <w:jc w:val="both"/>
        <w:rPr>
          <w:sz w:val="28"/>
          <w:szCs w:val="28"/>
          <w:lang w:val="uk-UA"/>
        </w:rPr>
      </w:pPr>
    </w:p>
    <w:p w:rsidR="00BF1E02" w:rsidRPr="00E4014A" w:rsidRDefault="00BF1E02" w:rsidP="00BF1E02">
      <w:pPr>
        <w:tabs>
          <w:tab w:val="num" w:pos="0"/>
          <w:tab w:val="left" w:pos="284"/>
          <w:tab w:val="num" w:pos="1710"/>
        </w:tabs>
        <w:jc w:val="center"/>
        <w:rPr>
          <w:b/>
          <w:sz w:val="28"/>
          <w:szCs w:val="28"/>
          <w:u w:val="single"/>
          <w:lang w:val="uk-UA"/>
        </w:rPr>
      </w:pPr>
      <w:r w:rsidRPr="00E4014A">
        <w:rPr>
          <w:b/>
          <w:i/>
          <w:sz w:val="28"/>
          <w:szCs w:val="28"/>
          <w:lang w:val="uk-UA"/>
        </w:rPr>
        <w:t xml:space="preserve"> </w:t>
      </w:r>
      <w:r w:rsidRPr="00E4014A">
        <w:rPr>
          <w:b/>
          <w:sz w:val="28"/>
          <w:szCs w:val="28"/>
          <w:u w:val="single"/>
          <w:lang w:val="uk-UA"/>
        </w:rPr>
        <w:t>в и р і ш и л а :</w:t>
      </w:r>
    </w:p>
    <w:p w:rsidR="00BF1E02" w:rsidRDefault="00BF1E02" w:rsidP="00BF1E02">
      <w:pPr>
        <w:ind w:firstLine="567"/>
        <w:jc w:val="both"/>
        <w:rPr>
          <w:b/>
          <w:sz w:val="28"/>
          <w:szCs w:val="28"/>
          <w:u w:val="single"/>
          <w:lang w:val="uk-UA"/>
        </w:rPr>
      </w:pPr>
    </w:p>
    <w:p w:rsidR="00BF1E02" w:rsidRPr="00E4014A" w:rsidRDefault="00BF1E02" w:rsidP="00BF1E02">
      <w:pPr>
        <w:jc w:val="both"/>
        <w:rPr>
          <w:sz w:val="28"/>
          <w:szCs w:val="28"/>
          <w:lang w:eastAsia="uk-UA"/>
        </w:rPr>
      </w:pPr>
      <w:r w:rsidRPr="00E4014A">
        <w:rPr>
          <w:sz w:val="28"/>
          <w:szCs w:val="28"/>
          <w:lang w:eastAsia="uk-UA"/>
        </w:rPr>
        <w:t xml:space="preserve">1. </w:t>
      </w:r>
      <w:proofErr w:type="spellStart"/>
      <w:r w:rsidRPr="00E4014A">
        <w:rPr>
          <w:sz w:val="28"/>
          <w:szCs w:val="28"/>
          <w:lang w:eastAsia="uk-UA"/>
        </w:rPr>
        <w:t>Інформацію</w:t>
      </w:r>
      <w:proofErr w:type="spellEnd"/>
      <w:r w:rsidRPr="00E4014A">
        <w:rPr>
          <w:sz w:val="28"/>
          <w:szCs w:val="28"/>
          <w:lang w:eastAsia="uk-UA"/>
        </w:rPr>
        <w:t xml:space="preserve"> </w:t>
      </w:r>
      <w:proofErr w:type="spellStart"/>
      <w:r w:rsidRPr="00E4014A">
        <w:rPr>
          <w:sz w:val="28"/>
          <w:szCs w:val="28"/>
          <w:lang w:eastAsia="uk-UA"/>
        </w:rPr>
        <w:t>взяти</w:t>
      </w:r>
      <w:proofErr w:type="spellEnd"/>
      <w:r w:rsidRPr="00E4014A">
        <w:rPr>
          <w:sz w:val="28"/>
          <w:szCs w:val="28"/>
          <w:lang w:eastAsia="uk-UA"/>
        </w:rPr>
        <w:t xml:space="preserve"> </w:t>
      </w:r>
      <w:proofErr w:type="gramStart"/>
      <w:r w:rsidRPr="00E4014A">
        <w:rPr>
          <w:sz w:val="28"/>
          <w:szCs w:val="28"/>
          <w:lang w:eastAsia="uk-UA"/>
        </w:rPr>
        <w:t>до</w:t>
      </w:r>
      <w:proofErr w:type="gramEnd"/>
      <w:r w:rsidRPr="00E4014A">
        <w:rPr>
          <w:sz w:val="28"/>
          <w:szCs w:val="28"/>
          <w:lang w:eastAsia="uk-UA"/>
        </w:rPr>
        <w:t xml:space="preserve"> </w:t>
      </w:r>
      <w:proofErr w:type="spellStart"/>
      <w:r w:rsidRPr="00E4014A">
        <w:rPr>
          <w:sz w:val="28"/>
          <w:szCs w:val="28"/>
          <w:lang w:eastAsia="uk-UA"/>
        </w:rPr>
        <w:t>відома</w:t>
      </w:r>
      <w:proofErr w:type="spellEnd"/>
      <w:r w:rsidRPr="00E4014A">
        <w:rPr>
          <w:sz w:val="28"/>
          <w:szCs w:val="28"/>
          <w:lang w:eastAsia="uk-UA"/>
        </w:rPr>
        <w:t>.</w:t>
      </w:r>
    </w:p>
    <w:p w:rsidR="00BF1E02" w:rsidRPr="00E4014A" w:rsidRDefault="00BF1E02" w:rsidP="00BF1E02">
      <w:pPr>
        <w:jc w:val="both"/>
        <w:rPr>
          <w:sz w:val="28"/>
          <w:szCs w:val="28"/>
          <w:lang w:eastAsia="uk-UA"/>
        </w:rPr>
      </w:pPr>
      <w:r w:rsidRPr="00E4014A">
        <w:rPr>
          <w:sz w:val="28"/>
          <w:szCs w:val="28"/>
          <w:lang w:val="uk-UA" w:eastAsia="uk-UA"/>
        </w:rPr>
        <w:t>2</w:t>
      </w:r>
      <w:r w:rsidRPr="00E4014A">
        <w:rPr>
          <w:sz w:val="28"/>
          <w:szCs w:val="28"/>
          <w:lang w:eastAsia="uk-UA"/>
        </w:rPr>
        <w:t>.</w:t>
      </w:r>
      <w:r w:rsidRPr="00E4014A">
        <w:rPr>
          <w:sz w:val="28"/>
          <w:szCs w:val="28"/>
          <w:lang w:val="uk-UA" w:eastAsia="uk-UA"/>
        </w:rPr>
        <w:t> </w:t>
      </w:r>
      <w:r w:rsidRPr="00E4014A">
        <w:rPr>
          <w:rFonts w:eastAsia="Calibri"/>
          <w:sz w:val="28"/>
          <w:szCs w:val="28"/>
          <w:lang w:val="uk-UA" w:eastAsia="en-US"/>
        </w:rPr>
        <w:t xml:space="preserve">Надати експертний висновок щодо регуляторного впливу проєкту регуляторного акта </w:t>
      </w:r>
      <w:r w:rsidRPr="00A93061">
        <w:rPr>
          <w:rFonts w:eastAsia="Calibri"/>
          <w:sz w:val="28"/>
          <w:szCs w:val="28"/>
          <w:lang w:val="uk-UA" w:eastAsia="en-US"/>
        </w:rPr>
        <w:t>«</w:t>
      </w:r>
      <w:r w:rsidRPr="00A93061">
        <w:rPr>
          <w:rFonts w:eastAsia="Calibri" w:cs="Calibri"/>
          <w:bCs/>
          <w:iCs/>
          <w:sz w:val="28"/>
          <w:szCs w:val="28"/>
          <w:lang w:val="uk-UA"/>
        </w:rPr>
        <w:t>Про затвердження Правил приймання стічних вод до систем централізованого водовідведення Рівненського обласного виробничого</w:t>
      </w:r>
      <w:r>
        <w:rPr>
          <w:rFonts w:eastAsia="Calibri" w:cs="Calibri"/>
          <w:bCs/>
          <w:iCs/>
          <w:sz w:val="28"/>
          <w:szCs w:val="28"/>
          <w:lang w:val="uk-UA"/>
        </w:rPr>
        <w:t xml:space="preserve"> комунального підприємства </w:t>
      </w:r>
      <w:r w:rsidRPr="00A93061">
        <w:rPr>
          <w:rFonts w:eastAsia="Calibri" w:cs="Calibri"/>
          <w:bCs/>
          <w:iCs/>
          <w:sz w:val="28"/>
          <w:szCs w:val="28"/>
          <w:lang w:val="uk-UA"/>
        </w:rPr>
        <w:t>водопровідно-каналізаційного господарства «Рівнеоблводоканал</w:t>
      </w:r>
      <w:r w:rsidRPr="00A93061">
        <w:rPr>
          <w:rFonts w:eastAsia="Calibri"/>
          <w:sz w:val="28"/>
          <w:szCs w:val="28"/>
          <w:lang w:val="uk-UA" w:eastAsia="en-US"/>
        </w:rPr>
        <w:t xml:space="preserve">» </w:t>
      </w:r>
      <w:r w:rsidRPr="00444DB6">
        <w:rPr>
          <w:rFonts w:eastAsia="Calibri"/>
          <w:color w:val="000000"/>
          <w:sz w:val="28"/>
          <w:szCs w:val="28"/>
          <w:lang w:val="uk-UA" w:eastAsia="en-US"/>
        </w:rPr>
        <w:t>(Додаток 1).</w:t>
      </w:r>
    </w:p>
    <w:p w:rsidR="00BF1E02" w:rsidRPr="00E4014A" w:rsidRDefault="00BF1E02" w:rsidP="00BF1E02">
      <w:pPr>
        <w:tabs>
          <w:tab w:val="left" w:pos="5103"/>
          <w:tab w:val="left" w:pos="10348"/>
        </w:tabs>
        <w:jc w:val="both"/>
        <w:rPr>
          <w:sz w:val="28"/>
          <w:szCs w:val="28"/>
          <w:u w:val="single"/>
        </w:rPr>
      </w:pPr>
    </w:p>
    <w:p w:rsidR="00BF1E02" w:rsidRPr="007D4067" w:rsidRDefault="00BF1E02" w:rsidP="00BF1E02">
      <w:pPr>
        <w:rPr>
          <w:b/>
          <w:sz w:val="26"/>
          <w:szCs w:val="26"/>
          <w:lang w:val="uk-UA"/>
        </w:rPr>
      </w:pPr>
    </w:p>
    <w:p w:rsidR="00BF1E02" w:rsidRPr="007D4067" w:rsidRDefault="00BF1E02" w:rsidP="00BF1E02">
      <w:pPr>
        <w:rPr>
          <w:b/>
          <w:sz w:val="28"/>
          <w:szCs w:val="28"/>
          <w:lang w:val="uk-UA"/>
        </w:rPr>
      </w:pPr>
      <w:r w:rsidRPr="007D4067">
        <w:rPr>
          <w:b/>
          <w:sz w:val="28"/>
          <w:szCs w:val="28"/>
          <w:lang w:val="uk-UA"/>
        </w:rPr>
        <w:t>Голова постійної комісії обласної</w:t>
      </w:r>
    </w:p>
    <w:p w:rsidR="00BF1E02" w:rsidRPr="007D4067" w:rsidRDefault="00BF1E02" w:rsidP="00BF1E02">
      <w:pPr>
        <w:rPr>
          <w:b/>
          <w:sz w:val="28"/>
          <w:szCs w:val="28"/>
          <w:lang w:val="uk-UA"/>
        </w:rPr>
      </w:pPr>
      <w:r w:rsidRPr="007D4067">
        <w:rPr>
          <w:b/>
          <w:sz w:val="28"/>
          <w:szCs w:val="28"/>
          <w:lang w:val="uk-UA"/>
        </w:rPr>
        <w:lastRenderedPageBreak/>
        <w:t>ради з економічних питань та</w:t>
      </w:r>
    </w:p>
    <w:p w:rsidR="00BF1E02" w:rsidRPr="00A93061" w:rsidRDefault="00BF1E02" w:rsidP="00BF1E02">
      <w:pPr>
        <w:rPr>
          <w:b/>
          <w:sz w:val="28"/>
          <w:szCs w:val="28"/>
          <w:lang w:val="uk-UA"/>
        </w:rPr>
      </w:pPr>
      <w:proofErr w:type="spellStart"/>
      <w:r w:rsidRPr="007D4067">
        <w:rPr>
          <w:b/>
          <w:sz w:val="28"/>
          <w:szCs w:val="28"/>
        </w:rPr>
        <w:t>комунальної</w:t>
      </w:r>
      <w:proofErr w:type="spellEnd"/>
      <w:r w:rsidRPr="007D4067">
        <w:rPr>
          <w:b/>
          <w:sz w:val="28"/>
          <w:szCs w:val="28"/>
        </w:rPr>
        <w:t xml:space="preserve"> </w:t>
      </w:r>
      <w:proofErr w:type="spellStart"/>
      <w:r w:rsidRPr="007D4067">
        <w:rPr>
          <w:b/>
          <w:sz w:val="28"/>
          <w:szCs w:val="28"/>
        </w:rPr>
        <w:t>власності</w:t>
      </w:r>
      <w:proofErr w:type="spellEnd"/>
      <w:r w:rsidRPr="007D4067">
        <w:rPr>
          <w:b/>
          <w:sz w:val="28"/>
          <w:szCs w:val="28"/>
        </w:rPr>
        <w:t xml:space="preserve">                                                         </w:t>
      </w:r>
      <w:r w:rsidRPr="007D4067">
        <w:rPr>
          <w:b/>
          <w:sz w:val="28"/>
          <w:szCs w:val="28"/>
          <w:lang w:val="uk-UA"/>
        </w:rPr>
        <w:t xml:space="preserve">    </w:t>
      </w:r>
      <w:r w:rsidRPr="007D4067">
        <w:rPr>
          <w:b/>
          <w:sz w:val="28"/>
          <w:szCs w:val="28"/>
        </w:rPr>
        <w:t>Андрій ПЕХОТІН</w:t>
      </w:r>
    </w:p>
    <w:p w:rsidR="00BF1E02" w:rsidRPr="00CC1E8A" w:rsidRDefault="00BF1E02" w:rsidP="00BF1E02">
      <w:pPr>
        <w:tabs>
          <w:tab w:val="left" w:pos="284"/>
          <w:tab w:val="num" w:pos="360"/>
        </w:tabs>
        <w:jc w:val="right"/>
        <w:rPr>
          <w:b/>
          <w:sz w:val="28"/>
          <w:szCs w:val="28"/>
          <w:lang w:val="uk-UA"/>
        </w:rPr>
      </w:pPr>
      <w:r w:rsidRPr="00CC1E8A">
        <w:rPr>
          <w:b/>
          <w:sz w:val="28"/>
          <w:szCs w:val="28"/>
          <w:lang w:val="uk-UA"/>
        </w:rPr>
        <w:t>Додаток 1</w:t>
      </w:r>
    </w:p>
    <w:p w:rsidR="00BF1E02" w:rsidRPr="00CC1E8A" w:rsidRDefault="00BF1E02" w:rsidP="00BF1E02">
      <w:pPr>
        <w:tabs>
          <w:tab w:val="left" w:pos="284"/>
          <w:tab w:val="num" w:pos="360"/>
        </w:tabs>
        <w:jc w:val="right"/>
        <w:rPr>
          <w:b/>
          <w:sz w:val="28"/>
          <w:szCs w:val="28"/>
          <w:lang w:val="uk-UA"/>
        </w:rPr>
      </w:pPr>
      <w:r w:rsidRPr="00CC1E8A">
        <w:rPr>
          <w:b/>
          <w:sz w:val="28"/>
          <w:szCs w:val="28"/>
          <w:lang w:val="uk-UA"/>
        </w:rPr>
        <w:t xml:space="preserve">до рекомендації постійної комісії </w:t>
      </w:r>
    </w:p>
    <w:p w:rsidR="00BF1E02" w:rsidRPr="00B04A27" w:rsidRDefault="00BF1E02" w:rsidP="00BF1E02">
      <w:pPr>
        <w:tabs>
          <w:tab w:val="left" w:pos="284"/>
          <w:tab w:val="num" w:pos="360"/>
        </w:tabs>
        <w:jc w:val="right"/>
        <w:rPr>
          <w:b/>
          <w:sz w:val="28"/>
          <w:szCs w:val="28"/>
          <w:lang w:val="uk-UA"/>
        </w:rPr>
      </w:pPr>
      <w:r w:rsidRPr="00CC1E8A">
        <w:rPr>
          <w:b/>
          <w:sz w:val="28"/>
          <w:szCs w:val="28"/>
          <w:lang w:val="uk-UA"/>
        </w:rPr>
        <w:t xml:space="preserve">від </w:t>
      </w:r>
      <w:r w:rsidRPr="008100A9">
        <w:rPr>
          <w:b/>
          <w:sz w:val="28"/>
          <w:szCs w:val="28"/>
          <w:lang w:val="uk-UA"/>
        </w:rPr>
        <w:t>23 квітня</w:t>
      </w:r>
      <w:r w:rsidRPr="00CC1E8A">
        <w:rPr>
          <w:b/>
          <w:sz w:val="28"/>
          <w:szCs w:val="28"/>
          <w:lang w:val="uk-UA"/>
        </w:rPr>
        <w:t xml:space="preserve"> 2025 року №</w:t>
      </w:r>
      <w:r>
        <w:rPr>
          <w:b/>
          <w:sz w:val="28"/>
          <w:szCs w:val="28"/>
          <w:lang w:val="uk-UA"/>
        </w:rPr>
        <w:t xml:space="preserve"> </w:t>
      </w:r>
      <w:r w:rsidRPr="00B04A27">
        <w:rPr>
          <w:b/>
          <w:sz w:val="28"/>
          <w:szCs w:val="28"/>
          <w:lang w:val="uk-UA"/>
        </w:rPr>
        <w:t>6</w:t>
      </w:r>
    </w:p>
    <w:p w:rsidR="00BF1E02" w:rsidRDefault="00BF1E02" w:rsidP="00BF1E02">
      <w:pPr>
        <w:tabs>
          <w:tab w:val="left" w:pos="284"/>
          <w:tab w:val="num" w:pos="360"/>
        </w:tabs>
        <w:jc w:val="right"/>
        <w:rPr>
          <w:b/>
          <w:sz w:val="28"/>
          <w:szCs w:val="28"/>
          <w:lang w:val="uk-UA"/>
        </w:rPr>
      </w:pPr>
    </w:p>
    <w:p w:rsidR="00BF1E02" w:rsidRDefault="00BF1E02" w:rsidP="00BF1E02">
      <w:pPr>
        <w:tabs>
          <w:tab w:val="left" w:pos="284"/>
          <w:tab w:val="num" w:pos="360"/>
        </w:tabs>
        <w:jc w:val="right"/>
        <w:rPr>
          <w:b/>
          <w:sz w:val="28"/>
          <w:szCs w:val="28"/>
          <w:lang w:val="uk-UA"/>
        </w:rPr>
      </w:pPr>
    </w:p>
    <w:p w:rsidR="00BF1E02" w:rsidRDefault="00BF1E02" w:rsidP="00BF1E02">
      <w:pPr>
        <w:tabs>
          <w:tab w:val="left" w:pos="284"/>
          <w:tab w:val="num" w:pos="360"/>
        </w:tabs>
        <w:jc w:val="right"/>
        <w:rPr>
          <w:b/>
          <w:sz w:val="28"/>
          <w:szCs w:val="28"/>
          <w:lang w:val="uk-UA"/>
        </w:rPr>
      </w:pPr>
    </w:p>
    <w:p w:rsidR="00BF1E02" w:rsidRPr="00CC1E8A" w:rsidRDefault="00BF1E02" w:rsidP="00BF1E02">
      <w:pPr>
        <w:tabs>
          <w:tab w:val="left" w:pos="284"/>
          <w:tab w:val="num" w:pos="360"/>
        </w:tabs>
        <w:jc w:val="right"/>
        <w:rPr>
          <w:b/>
          <w:sz w:val="28"/>
          <w:szCs w:val="28"/>
          <w:lang w:val="uk-UA"/>
        </w:rPr>
      </w:pPr>
    </w:p>
    <w:p w:rsidR="00BF1E02" w:rsidRPr="00CC1E8A" w:rsidRDefault="00BF1E02" w:rsidP="00BF1E02">
      <w:pPr>
        <w:jc w:val="center"/>
        <w:rPr>
          <w:b/>
          <w:i/>
          <w:caps/>
          <w:color w:val="000000"/>
          <w:sz w:val="28"/>
          <w:szCs w:val="28"/>
          <w:lang w:val="uk-UA"/>
        </w:rPr>
      </w:pPr>
      <w:r w:rsidRPr="00CC1E8A">
        <w:rPr>
          <w:b/>
          <w:bCs/>
          <w:iCs/>
          <w:caps/>
          <w:color w:val="000000"/>
          <w:sz w:val="28"/>
          <w:szCs w:val="28"/>
          <w:lang w:val="uk-UA"/>
        </w:rPr>
        <w:t>Експертний висновок</w:t>
      </w:r>
    </w:p>
    <w:p w:rsidR="00BF1E02" w:rsidRDefault="00BF1E02" w:rsidP="00BF1E02">
      <w:pPr>
        <w:jc w:val="center"/>
        <w:rPr>
          <w:b/>
          <w:bCs/>
          <w:iCs/>
          <w:color w:val="000000"/>
          <w:sz w:val="28"/>
          <w:szCs w:val="28"/>
          <w:lang w:val="uk-UA"/>
        </w:rPr>
      </w:pPr>
    </w:p>
    <w:p w:rsidR="00BF1E02" w:rsidRPr="00CC1E8A" w:rsidRDefault="00BF1E02" w:rsidP="00BF1E02">
      <w:pPr>
        <w:jc w:val="center"/>
        <w:rPr>
          <w:b/>
          <w:bCs/>
          <w:iCs/>
          <w:color w:val="000000"/>
          <w:sz w:val="28"/>
          <w:szCs w:val="28"/>
          <w:lang w:val="uk-UA"/>
        </w:rPr>
      </w:pPr>
    </w:p>
    <w:p w:rsidR="00BF1E02" w:rsidRPr="00CC1E8A" w:rsidRDefault="00BF1E02" w:rsidP="00BF1E02">
      <w:pPr>
        <w:jc w:val="center"/>
        <w:rPr>
          <w:b/>
          <w:sz w:val="28"/>
          <w:szCs w:val="28"/>
          <w:lang w:val="uk-UA"/>
        </w:rPr>
      </w:pPr>
      <w:r w:rsidRPr="00CC1E8A">
        <w:rPr>
          <w:b/>
          <w:bCs/>
          <w:iCs/>
          <w:color w:val="000000"/>
          <w:sz w:val="28"/>
          <w:szCs w:val="28"/>
          <w:lang w:val="uk-UA"/>
        </w:rPr>
        <w:t xml:space="preserve">постійної </w:t>
      </w:r>
      <w:r w:rsidRPr="00CC1E8A">
        <w:rPr>
          <w:b/>
          <w:color w:val="000000"/>
          <w:sz w:val="28"/>
          <w:szCs w:val="28"/>
          <w:lang w:val="uk-UA"/>
        </w:rPr>
        <w:t>комісії</w:t>
      </w:r>
      <w:r w:rsidRPr="00CC1E8A">
        <w:rPr>
          <w:b/>
          <w:bCs/>
          <w:iCs/>
          <w:color w:val="000000"/>
          <w:sz w:val="28"/>
          <w:szCs w:val="28"/>
          <w:lang w:val="uk-UA"/>
        </w:rPr>
        <w:t xml:space="preserve"> </w:t>
      </w:r>
      <w:r w:rsidRPr="00CC1E8A">
        <w:rPr>
          <w:b/>
          <w:bCs/>
          <w:color w:val="000000"/>
          <w:sz w:val="28"/>
          <w:szCs w:val="28"/>
          <w:lang w:val="uk-UA"/>
        </w:rPr>
        <w:t>Рівненської обласної ради</w:t>
      </w:r>
      <w:r w:rsidRPr="00CC1E8A">
        <w:rPr>
          <w:b/>
          <w:bCs/>
          <w:iCs/>
          <w:color w:val="000000"/>
          <w:sz w:val="28"/>
          <w:szCs w:val="28"/>
          <w:lang w:val="uk-UA"/>
        </w:rPr>
        <w:t xml:space="preserve"> з</w:t>
      </w:r>
      <w:r>
        <w:rPr>
          <w:b/>
          <w:bCs/>
          <w:iCs/>
          <w:color w:val="000000"/>
          <w:sz w:val="28"/>
          <w:szCs w:val="28"/>
          <w:lang w:val="uk-UA"/>
        </w:rPr>
        <w:t xml:space="preserve"> економічних питань та комунальної власності</w:t>
      </w:r>
      <w:r w:rsidRPr="00CC1E8A">
        <w:rPr>
          <w:b/>
          <w:bCs/>
          <w:iCs/>
          <w:color w:val="000000"/>
          <w:sz w:val="28"/>
          <w:szCs w:val="28"/>
          <w:lang w:val="uk-UA"/>
        </w:rPr>
        <w:t xml:space="preserve"> </w:t>
      </w:r>
      <w:r w:rsidRPr="00CC1E8A">
        <w:rPr>
          <w:b/>
          <w:bCs/>
          <w:color w:val="000000"/>
          <w:sz w:val="28"/>
          <w:szCs w:val="28"/>
          <w:lang w:val="uk-UA"/>
        </w:rPr>
        <w:t xml:space="preserve">щодо регуляторного впливу проєкту регуляторного </w:t>
      </w:r>
      <w:r w:rsidRPr="00CC1E8A">
        <w:rPr>
          <w:b/>
          <w:bCs/>
          <w:sz w:val="28"/>
          <w:szCs w:val="28"/>
          <w:lang w:val="uk-UA"/>
        </w:rPr>
        <w:t xml:space="preserve">акта </w:t>
      </w:r>
      <w:r w:rsidRPr="00CC1E8A">
        <w:rPr>
          <w:b/>
          <w:sz w:val="28"/>
          <w:szCs w:val="28"/>
          <w:lang w:val="uk-UA"/>
        </w:rPr>
        <w:t>«Про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«Рівнеоблводоканал»</w:t>
      </w:r>
    </w:p>
    <w:p w:rsidR="00BF1E02" w:rsidRDefault="00BF1E02" w:rsidP="00BF1E02">
      <w:pPr>
        <w:jc w:val="center"/>
        <w:rPr>
          <w:b/>
          <w:sz w:val="28"/>
          <w:szCs w:val="28"/>
          <w:lang w:val="uk-UA"/>
        </w:rPr>
      </w:pPr>
    </w:p>
    <w:p w:rsidR="00BF1E02" w:rsidRDefault="00BF1E02" w:rsidP="00BF1E02">
      <w:pPr>
        <w:jc w:val="center"/>
        <w:rPr>
          <w:b/>
          <w:sz w:val="28"/>
          <w:szCs w:val="28"/>
          <w:lang w:val="uk-UA"/>
        </w:rPr>
      </w:pPr>
    </w:p>
    <w:p w:rsidR="00BF1E02" w:rsidRPr="00CC1E8A" w:rsidRDefault="00BF1E02" w:rsidP="00BF1E02">
      <w:pPr>
        <w:jc w:val="center"/>
        <w:rPr>
          <w:b/>
          <w:sz w:val="28"/>
          <w:szCs w:val="28"/>
          <w:lang w:val="uk-UA"/>
        </w:rPr>
      </w:pPr>
      <w:r w:rsidRPr="00CC1E8A">
        <w:rPr>
          <w:b/>
          <w:sz w:val="28"/>
          <w:szCs w:val="28"/>
          <w:lang w:val="uk-UA"/>
        </w:rPr>
        <w:t xml:space="preserve"> </w:t>
      </w:r>
    </w:p>
    <w:p w:rsidR="00BF1E02" w:rsidRPr="00CC1E8A" w:rsidRDefault="00BF1E02" w:rsidP="00BF1E02">
      <w:pPr>
        <w:ind w:firstLine="708"/>
        <w:jc w:val="both"/>
        <w:rPr>
          <w:bCs/>
          <w:sz w:val="28"/>
          <w:szCs w:val="28"/>
          <w:lang w:val="uk-UA"/>
        </w:rPr>
      </w:pPr>
      <w:r w:rsidRPr="00CC1E8A">
        <w:rPr>
          <w:sz w:val="28"/>
          <w:szCs w:val="28"/>
          <w:lang w:val="uk-UA"/>
        </w:rPr>
        <w:t xml:space="preserve">Постійна комісія </w:t>
      </w:r>
      <w:r w:rsidRPr="00CC1E8A">
        <w:rPr>
          <w:bCs/>
          <w:color w:val="000000"/>
          <w:sz w:val="28"/>
          <w:szCs w:val="28"/>
          <w:lang w:val="uk-UA"/>
        </w:rPr>
        <w:t>Рівненської обласної ради</w:t>
      </w:r>
      <w:r w:rsidRPr="00CC1E8A">
        <w:rPr>
          <w:bCs/>
          <w:iCs/>
          <w:color w:val="000000"/>
          <w:sz w:val="28"/>
          <w:szCs w:val="28"/>
          <w:lang w:val="uk-UA"/>
        </w:rPr>
        <w:t xml:space="preserve"> з</w:t>
      </w:r>
      <w:r>
        <w:rPr>
          <w:bCs/>
          <w:iCs/>
          <w:color w:val="000000"/>
          <w:sz w:val="28"/>
          <w:szCs w:val="28"/>
          <w:lang w:val="uk-UA"/>
        </w:rPr>
        <w:t xml:space="preserve"> економічних питань та комунальної власності</w:t>
      </w:r>
      <w:r w:rsidRPr="00CC1E8A">
        <w:rPr>
          <w:bCs/>
          <w:iCs/>
          <w:color w:val="000000"/>
          <w:sz w:val="28"/>
          <w:szCs w:val="28"/>
          <w:lang w:val="uk-UA"/>
        </w:rPr>
        <w:t xml:space="preserve"> розглянула </w:t>
      </w:r>
      <w:r w:rsidRPr="00CC1E8A">
        <w:rPr>
          <w:bCs/>
          <w:color w:val="000000"/>
          <w:sz w:val="28"/>
          <w:szCs w:val="28"/>
          <w:lang w:val="uk-UA"/>
        </w:rPr>
        <w:t xml:space="preserve">проєкт регуляторного </w:t>
      </w:r>
      <w:r w:rsidRPr="00CC1E8A">
        <w:rPr>
          <w:bCs/>
          <w:sz w:val="28"/>
          <w:szCs w:val="28"/>
          <w:lang w:val="uk-UA"/>
        </w:rPr>
        <w:t xml:space="preserve">акта </w:t>
      </w:r>
      <w:r w:rsidRPr="00CC1E8A">
        <w:rPr>
          <w:sz w:val="28"/>
          <w:szCs w:val="28"/>
          <w:lang w:val="uk-UA"/>
        </w:rPr>
        <w:t xml:space="preserve">«Про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«Рівнеоблводоканал» щодо відповідності його </w:t>
      </w:r>
      <w:r w:rsidRPr="00CC1E8A">
        <w:rPr>
          <w:bCs/>
          <w:sz w:val="28"/>
          <w:szCs w:val="28"/>
          <w:lang w:val="uk-UA"/>
        </w:rPr>
        <w:t>вимогам статей 8 та 4 Закону України «Про засади державної регуляторної політики у сфері господарської діяльності».</w:t>
      </w:r>
    </w:p>
    <w:p w:rsidR="00BF1E02" w:rsidRPr="00CC1E8A" w:rsidRDefault="00BF1E02" w:rsidP="00BF1E02">
      <w:pPr>
        <w:ind w:firstLine="708"/>
        <w:jc w:val="both"/>
        <w:rPr>
          <w:sz w:val="28"/>
          <w:szCs w:val="28"/>
          <w:lang w:val="uk-UA"/>
        </w:rPr>
      </w:pPr>
      <w:r w:rsidRPr="00CC1E8A">
        <w:rPr>
          <w:sz w:val="28"/>
          <w:szCs w:val="28"/>
          <w:lang w:val="uk-UA"/>
        </w:rPr>
        <w:t>Цей експертний висновок підготовлено відповідно до вимог статті 34 Закону України «Про засади державної регуляторної політики у сфері господарської діяльності».</w:t>
      </w:r>
    </w:p>
    <w:p w:rsidR="00BF1E02" w:rsidRPr="00CC1E8A" w:rsidRDefault="00BF1E02" w:rsidP="00BF1E02">
      <w:pPr>
        <w:ind w:firstLine="708"/>
        <w:jc w:val="both"/>
        <w:rPr>
          <w:sz w:val="28"/>
          <w:szCs w:val="28"/>
          <w:lang w:val="uk-UA"/>
        </w:rPr>
      </w:pPr>
      <w:r w:rsidRPr="00CC1E8A">
        <w:rPr>
          <w:bCs/>
          <w:sz w:val="28"/>
          <w:szCs w:val="28"/>
          <w:lang w:val="uk-UA"/>
        </w:rPr>
        <w:t>Розробник проєкту регуляторного акта:</w:t>
      </w:r>
      <w:r w:rsidRPr="00CC1E8A">
        <w:rPr>
          <w:sz w:val="28"/>
          <w:szCs w:val="28"/>
          <w:lang w:val="uk-UA"/>
        </w:rPr>
        <w:t xml:space="preserve"> Рівненське обласне виробниче комунальне підприємство водопровідно-каналізаційного господарства «Рівнеоблводоканал» (РОВКП ВКГ «Рівнеоблводоканал»).</w:t>
      </w:r>
    </w:p>
    <w:p w:rsidR="00BF1E02" w:rsidRPr="00CC1E8A" w:rsidRDefault="00BF1E02" w:rsidP="00BF1E02">
      <w:pPr>
        <w:ind w:firstLine="708"/>
        <w:jc w:val="both"/>
        <w:rPr>
          <w:sz w:val="28"/>
          <w:szCs w:val="28"/>
          <w:lang w:val="uk-UA"/>
        </w:rPr>
      </w:pPr>
      <w:r w:rsidRPr="00CC1E8A">
        <w:rPr>
          <w:sz w:val="28"/>
          <w:szCs w:val="28"/>
          <w:lang w:val="uk-UA"/>
        </w:rPr>
        <w:t>Проєкт регуляторного акта відповідає принципам державної регуляторної політики, визначеним у статті 4 Закону України «Про засади державної регуляторної політики у сфері господарської діяльності», зокрема:</w:t>
      </w:r>
    </w:p>
    <w:p w:rsidR="00BF1E02" w:rsidRDefault="00BF1E02" w:rsidP="00BF1E02">
      <w:pPr>
        <w:ind w:firstLine="708"/>
        <w:jc w:val="both"/>
        <w:rPr>
          <w:sz w:val="28"/>
          <w:szCs w:val="28"/>
          <w:lang w:val="uk-UA"/>
        </w:rPr>
      </w:pPr>
    </w:p>
    <w:p w:rsidR="00BF1E02" w:rsidRPr="00CC1E8A" w:rsidRDefault="00BF1E02" w:rsidP="00BF1E02">
      <w:pPr>
        <w:ind w:firstLine="708"/>
        <w:jc w:val="both"/>
        <w:rPr>
          <w:sz w:val="28"/>
          <w:szCs w:val="28"/>
          <w:lang w:val="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9"/>
        <w:gridCol w:w="7550"/>
      </w:tblGrid>
      <w:tr w:rsidR="00BF1E02" w:rsidRPr="00CC1E8A" w:rsidTr="00671A93">
        <w:trPr>
          <w:tblHeader/>
          <w:tblCellSpacing w:w="15" w:type="dxa"/>
        </w:trPr>
        <w:tc>
          <w:tcPr>
            <w:tcW w:w="0" w:type="auto"/>
            <w:vAlign w:val="center"/>
            <w:hideMark/>
          </w:tcPr>
          <w:p w:rsidR="00BF1E02" w:rsidRPr="00CC1E8A" w:rsidRDefault="00BF1E02" w:rsidP="00671A93">
            <w:pPr>
              <w:jc w:val="center"/>
              <w:rPr>
                <w:b/>
                <w:bCs/>
                <w:lang w:val="uk-UA"/>
              </w:rPr>
            </w:pPr>
            <w:r w:rsidRPr="00CC1E8A">
              <w:rPr>
                <w:b/>
                <w:bCs/>
                <w:lang w:val="uk-UA"/>
              </w:rPr>
              <w:t>Принцип державної регуляторної політики</w:t>
            </w:r>
          </w:p>
        </w:tc>
        <w:tc>
          <w:tcPr>
            <w:tcW w:w="0" w:type="auto"/>
            <w:vAlign w:val="center"/>
            <w:hideMark/>
          </w:tcPr>
          <w:p w:rsidR="00BF1E02" w:rsidRPr="00CC1E8A" w:rsidRDefault="00BF1E02" w:rsidP="00671A93">
            <w:pPr>
              <w:jc w:val="center"/>
              <w:rPr>
                <w:b/>
                <w:bCs/>
                <w:lang w:val="uk-UA"/>
              </w:rPr>
            </w:pPr>
            <w:r w:rsidRPr="00CC1E8A">
              <w:rPr>
                <w:b/>
                <w:bCs/>
                <w:lang w:val="uk-UA"/>
              </w:rPr>
              <w:t>Забезпечення дотримання принципу під час розробки проєкту регуляторного акта</w:t>
            </w:r>
          </w:p>
        </w:tc>
      </w:tr>
      <w:tr w:rsidR="00BF1E02" w:rsidRPr="00CC1E8A" w:rsidTr="00671A93">
        <w:trPr>
          <w:tblCellSpacing w:w="15" w:type="dxa"/>
        </w:trPr>
        <w:tc>
          <w:tcPr>
            <w:tcW w:w="0" w:type="auto"/>
            <w:vAlign w:val="center"/>
            <w:hideMark/>
          </w:tcPr>
          <w:p w:rsidR="00BF1E02" w:rsidRPr="00CC1E8A" w:rsidRDefault="00BF1E02" w:rsidP="00671A93">
            <w:pPr>
              <w:jc w:val="center"/>
              <w:rPr>
                <w:lang w:val="uk-UA"/>
              </w:rPr>
            </w:pPr>
            <w:r w:rsidRPr="00CC1E8A">
              <w:rPr>
                <w:b/>
                <w:bCs/>
                <w:lang w:val="uk-UA"/>
              </w:rPr>
              <w:t>Доцільність</w:t>
            </w:r>
          </w:p>
        </w:tc>
        <w:tc>
          <w:tcPr>
            <w:tcW w:w="0" w:type="auto"/>
            <w:vAlign w:val="center"/>
            <w:hideMark/>
          </w:tcPr>
          <w:p w:rsidR="00BF1E02" w:rsidRPr="00CC1E8A" w:rsidRDefault="00BF1E02" w:rsidP="00671A93">
            <w:pPr>
              <w:jc w:val="both"/>
              <w:rPr>
                <w:lang w:val="uk-UA"/>
              </w:rPr>
            </w:pPr>
            <w:r w:rsidRPr="00CC1E8A">
              <w:rPr>
                <w:lang w:val="uk-UA"/>
              </w:rPr>
              <w:t>Забезпечено шляхом всебічного аналізу чинного законодавства України у сфері водовідведення та екологічної безпеки. Важливість прийняття проєкту полягає у встановленні прозорих правил приймання стічних вод до систем централізованого водовідведення, що сприятиме покращенню екологічного стану регіону. Встановлення єдиних правил приймання стічних вод є необхідним для контролю якості скидів та запобігання негативному впливу на навколишнє середовище.</w:t>
            </w:r>
          </w:p>
        </w:tc>
      </w:tr>
      <w:tr w:rsidR="00BF1E02" w:rsidRPr="00CC1E8A" w:rsidTr="00671A93">
        <w:trPr>
          <w:tblCellSpacing w:w="15" w:type="dxa"/>
        </w:trPr>
        <w:tc>
          <w:tcPr>
            <w:tcW w:w="0" w:type="auto"/>
            <w:vAlign w:val="center"/>
            <w:hideMark/>
          </w:tcPr>
          <w:p w:rsidR="00BF1E02" w:rsidRPr="00CC1E8A" w:rsidRDefault="00BF1E02" w:rsidP="00671A93">
            <w:pPr>
              <w:jc w:val="center"/>
              <w:rPr>
                <w:lang w:val="uk-UA"/>
              </w:rPr>
            </w:pPr>
            <w:r w:rsidRPr="00CC1E8A">
              <w:rPr>
                <w:b/>
                <w:bCs/>
                <w:lang w:val="uk-UA"/>
              </w:rPr>
              <w:t>Адекватність</w:t>
            </w:r>
          </w:p>
        </w:tc>
        <w:tc>
          <w:tcPr>
            <w:tcW w:w="0" w:type="auto"/>
            <w:vAlign w:val="center"/>
            <w:hideMark/>
          </w:tcPr>
          <w:p w:rsidR="00BF1E02" w:rsidRPr="00CC1E8A" w:rsidRDefault="00BF1E02" w:rsidP="00671A93">
            <w:pPr>
              <w:jc w:val="both"/>
              <w:rPr>
                <w:lang w:val="uk-UA"/>
              </w:rPr>
            </w:pPr>
            <w:r w:rsidRPr="00CC1E8A">
              <w:rPr>
                <w:lang w:val="uk-UA"/>
              </w:rPr>
              <w:t xml:space="preserve">Умови приймання стічних вод відповідають вимогам чинного законодавства України та нормативних документів щодо охорони водних ресурсів. Забезпечено шляхом </w:t>
            </w:r>
            <w:r w:rsidRPr="00CC1E8A">
              <w:rPr>
                <w:lang w:val="uk-UA"/>
              </w:rPr>
              <w:lastRenderedPageBreak/>
              <w:t>встановлення чітких умов та обмежень на приймання стічних вод, які відповідають вимогам екологічної безпеки, стандартам якості та державним санітарним нормам. Проєкт регуляторного акта встановлює чіткі обов’язки та права для суб’єктів господарювання, що сприяє зниженню рівня забруднення.</w:t>
            </w:r>
          </w:p>
        </w:tc>
      </w:tr>
      <w:tr w:rsidR="00BF1E02" w:rsidRPr="00CC1E8A" w:rsidTr="00671A93">
        <w:trPr>
          <w:tblCellSpacing w:w="15" w:type="dxa"/>
        </w:trPr>
        <w:tc>
          <w:tcPr>
            <w:tcW w:w="0" w:type="auto"/>
            <w:vAlign w:val="center"/>
            <w:hideMark/>
          </w:tcPr>
          <w:p w:rsidR="00BF1E02" w:rsidRPr="00CC1E8A" w:rsidRDefault="00BF1E02" w:rsidP="00671A93">
            <w:pPr>
              <w:jc w:val="center"/>
              <w:rPr>
                <w:b/>
                <w:bCs/>
                <w:lang w:val="uk-UA"/>
              </w:rPr>
            </w:pPr>
            <w:r w:rsidRPr="00CC1E8A">
              <w:rPr>
                <w:b/>
                <w:bCs/>
                <w:lang w:val="uk-UA"/>
              </w:rPr>
              <w:lastRenderedPageBreak/>
              <w:t>Ефективність</w:t>
            </w:r>
          </w:p>
        </w:tc>
        <w:tc>
          <w:tcPr>
            <w:tcW w:w="0" w:type="auto"/>
            <w:vAlign w:val="center"/>
            <w:hideMark/>
          </w:tcPr>
          <w:p w:rsidR="00BF1E02" w:rsidRPr="00CC1E8A" w:rsidRDefault="00BF1E02" w:rsidP="00671A93">
            <w:pPr>
              <w:jc w:val="both"/>
              <w:rPr>
                <w:lang w:val="uk-UA"/>
              </w:rPr>
            </w:pPr>
            <w:r w:rsidRPr="00CC1E8A">
              <w:rPr>
                <w:lang w:val="uk-UA"/>
              </w:rPr>
              <w:t xml:space="preserve">Реалізація проєкту сприятиме забезпеченню якісного та безперебійного водовідведення. Очікуваним результатом є зменшення обсягів забруднення стічних вод, покращення екологічного стану регіону та підвищення рівня відповідальності суб’єктів господарювання за дотримання екологічних норм. </w:t>
            </w:r>
          </w:p>
        </w:tc>
      </w:tr>
      <w:tr w:rsidR="00BF1E02" w:rsidRPr="00CC1E8A" w:rsidTr="00671A93">
        <w:trPr>
          <w:tblCellSpacing w:w="15" w:type="dxa"/>
        </w:trPr>
        <w:tc>
          <w:tcPr>
            <w:tcW w:w="0" w:type="auto"/>
            <w:vAlign w:val="center"/>
            <w:hideMark/>
          </w:tcPr>
          <w:p w:rsidR="00BF1E02" w:rsidRPr="00CC1E8A" w:rsidRDefault="00BF1E02" w:rsidP="00671A93">
            <w:pPr>
              <w:jc w:val="center"/>
              <w:rPr>
                <w:b/>
                <w:bCs/>
                <w:lang w:val="uk-UA"/>
              </w:rPr>
            </w:pPr>
            <w:r w:rsidRPr="00CC1E8A">
              <w:rPr>
                <w:b/>
                <w:bCs/>
                <w:lang w:val="uk-UA"/>
              </w:rPr>
              <w:t>Збалансованість</w:t>
            </w:r>
          </w:p>
        </w:tc>
        <w:tc>
          <w:tcPr>
            <w:tcW w:w="0" w:type="auto"/>
            <w:vAlign w:val="center"/>
            <w:hideMark/>
          </w:tcPr>
          <w:p w:rsidR="00BF1E02" w:rsidRPr="00CC1E8A" w:rsidRDefault="00BF1E02" w:rsidP="00671A93">
            <w:pPr>
              <w:jc w:val="both"/>
              <w:rPr>
                <w:lang w:val="uk-UA"/>
              </w:rPr>
            </w:pPr>
            <w:r w:rsidRPr="00CC1E8A">
              <w:rPr>
                <w:lang w:val="uk-UA"/>
              </w:rPr>
              <w:t>У проєкті враховано інтереси як суб’єктів господарювання, так і територіальної громади щодо забезпечення належного водовідведення та охорони навколишнього середовища. Проєкт сприяє захисту довкілля та збереженню водних ресурсів, водночас створюючи сприятливі умови для розвитку місцевого бізнесу.</w:t>
            </w:r>
          </w:p>
        </w:tc>
      </w:tr>
      <w:tr w:rsidR="00BF1E02" w:rsidRPr="00CC1E8A" w:rsidTr="00671A93">
        <w:trPr>
          <w:tblCellSpacing w:w="15" w:type="dxa"/>
        </w:trPr>
        <w:tc>
          <w:tcPr>
            <w:tcW w:w="0" w:type="auto"/>
            <w:vAlign w:val="center"/>
            <w:hideMark/>
          </w:tcPr>
          <w:p w:rsidR="00BF1E02" w:rsidRPr="00CC1E8A" w:rsidRDefault="00BF1E02" w:rsidP="00671A93">
            <w:pPr>
              <w:jc w:val="center"/>
              <w:rPr>
                <w:lang w:val="uk-UA"/>
              </w:rPr>
            </w:pPr>
            <w:r w:rsidRPr="00CC1E8A">
              <w:rPr>
                <w:b/>
                <w:bCs/>
                <w:lang w:val="uk-UA"/>
              </w:rPr>
              <w:t>Передбачуваність</w:t>
            </w:r>
          </w:p>
        </w:tc>
        <w:tc>
          <w:tcPr>
            <w:tcW w:w="0" w:type="auto"/>
            <w:vAlign w:val="center"/>
            <w:hideMark/>
          </w:tcPr>
          <w:p w:rsidR="00BF1E02" w:rsidRPr="00CC1E8A" w:rsidRDefault="00BF1E02" w:rsidP="00671A93">
            <w:pPr>
              <w:jc w:val="both"/>
              <w:rPr>
                <w:lang w:val="uk-UA"/>
              </w:rPr>
            </w:pPr>
            <w:r w:rsidRPr="00CC1E8A">
              <w:rPr>
                <w:lang w:val="uk-UA"/>
              </w:rPr>
              <w:t>Положення проєкту гарантують стабільність регулювання протягом визначеного періоду, що дозволяє суб’єктам господарювання планувати свою діяльність</w:t>
            </w:r>
            <w:r>
              <w:rPr>
                <w:lang w:val="uk-UA"/>
              </w:rPr>
              <w:t xml:space="preserve"> з </w:t>
            </w:r>
            <w:r w:rsidRPr="00CC1E8A">
              <w:rPr>
                <w:lang w:val="uk-UA"/>
              </w:rPr>
              <w:t xml:space="preserve"> урахуванням вимог щодо водовідведення .</w:t>
            </w:r>
          </w:p>
        </w:tc>
      </w:tr>
      <w:tr w:rsidR="00BF1E02" w:rsidRPr="00CC1E8A" w:rsidTr="00671A93">
        <w:trPr>
          <w:tblCellSpacing w:w="15" w:type="dxa"/>
        </w:trPr>
        <w:tc>
          <w:tcPr>
            <w:tcW w:w="0" w:type="auto"/>
            <w:vAlign w:val="center"/>
            <w:hideMark/>
          </w:tcPr>
          <w:p w:rsidR="00BF1E02" w:rsidRPr="00CC1E8A" w:rsidRDefault="00BF1E02" w:rsidP="00671A93">
            <w:pPr>
              <w:jc w:val="center"/>
              <w:rPr>
                <w:lang w:val="uk-UA"/>
              </w:rPr>
            </w:pPr>
            <w:r w:rsidRPr="00CC1E8A">
              <w:rPr>
                <w:b/>
                <w:bCs/>
                <w:lang w:val="uk-UA"/>
              </w:rPr>
              <w:t>Прозорість та врахування громадської думки</w:t>
            </w:r>
          </w:p>
        </w:tc>
        <w:tc>
          <w:tcPr>
            <w:tcW w:w="0" w:type="auto"/>
            <w:vAlign w:val="center"/>
            <w:hideMark/>
          </w:tcPr>
          <w:p w:rsidR="00BF1E02" w:rsidRPr="00CC1E8A" w:rsidRDefault="00BF1E02" w:rsidP="00671A93">
            <w:pPr>
              <w:jc w:val="both"/>
              <w:rPr>
                <w:lang w:val="uk-UA"/>
              </w:rPr>
            </w:pPr>
            <w:r w:rsidRPr="00CC1E8A">
              <w:rPr>
                <w:lang w:val="uk-UA"/>
              </w:rPr>
              <w:t>Проєкт регуляторного акта оприлюднено на офіційному веб-сайті РОВКП ВКГ «Рівнеоблводоканал» для отримання пропозицій та зауважень від громадськості та суб’єктів господарювання. Усі пропозиції та зауваження розглядаються в установленому порядку.</w:t>
            </w:r>
          </w:p>
        </w:tc>
      </w:tr>
    </w:tbl>
    <w:p w:rsidR="00BF1E02" w:rsidRPr="00CC1E8A" w:rsidRDefault="00BF1E02" w:rsidP="00BF1E02">
      <w:pPr>
        <w:jc w:val="center"/>
        <w:rPr>
          <w:sz w:val="28"/>
          <w:szCs w:val="28"/>
          <w:lang w:val="uk-UA"/>
        </w:rPr>
      </w:pPr>
    </w:p>
    <w:p w:rsidR="00BF1E02" w:rsidRPr="00CC1E8A" w:rsidRDefault="00BF1E02" w:rsidP="00BF1E02">
      <w:pPr>
        <w:ind w:firstLine="708"/>
        <w:jc w:val="both"/>
        <w:rPr>
          <w:bCs/>
          <w:sz w:val="28"/>
          <w:szCs w:val="28"/>
          <w:lang w:val="uk-UA"/>
        </w:rPr>
      </w:pPr>
      <w:r>
        <w:rPr>
          <w:bCs/>
          <w:sz w:val="28"/>
          <w:szCs w:val="28"/>
          <w:lang w:val="uk-UA"/>
        </w:rPr>
        <w:t>Аналіз регуляторного впливу проє</w:t>
      </w:r>
      <w:r w:rsidRPr="00CC1E8A">
        <w:rPr>
          <w:bCs/>
          <w:sz w:val="28"/>
          <w:szCs w:val="28"/>
          <w:lang w:val="uk-UA"/>
        </w:rPr>
        <w:t>кту регуляторного акта «Про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«Рівнеоблводоканал»</w:t>
      </w:r>
      <w:r>
        <w:rPr>
          <w:bCs/>
          <w:sz w:val="28"/>
          <w:szCs w:val="28"/>
          <w:lang w:val="uk-UA"/>
        </w:rPr>
        <w:t xml:space="preserve"> відповідає</w:t>
      </w:r>
      <w:r w:rsidRPr="00CC1E8A">
        <w:rPr>
          <w:bCs/>
          <w:sz w:val="28"/>
          <w:szCs w:val="28"/>
          <w:lang w:val="uk-UA"/>
        </w:rPr>
        <w:t xml:space="preserve"> вимогам статті 8 Закону України «Про засади державної регуляторної політики у сфері господарської діяльності», зокрема розробником у процесі підготовки аналізу регуляторного впливу здійснено:</w:t>
      </w:r>
    </w:p>
    <w:p w:rsidR="00BF1E02" w:rsidRPr="00CC1E8A" w:rsidRDefault="00BF1E02" w:rsidP="00BF1E02">
      <w:pPr>
        <w:ind w:firstLine="708"/>
        <w:jc w:val="both"/>
        <w:rPr>
          <w:bCs/>
          <w:sz w:val="28"/>
          <w:szCs w:val="28"/>
          <w:lang w:val="uk-UA"/>
        </w:rPr>
      </w:pPr>
    </w:p>
    <w:tbl>
      <w:tblPr>
        <w:tblW w:w="10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0"/>
        <w:gridCol w:w="5571"/>
      </w:tblGrid>
      <w:tr w:rsidR="00BF1E02" w:rsidRPr="00CC1E8A" w:rsidTr="00671A93">
        <w:trPr>
          <w:tblHeader/>
          <w:tblCellSpacing w:w="15" w:type="dxa"/>
        </w:trPr>
        <w:tc>
          <w:tcPr>
            <w:tcW w:w="4645" w:type="dxa"/>
            <w:vAlign w:val="center"/>
            <w:hideMark/>
          </w:tcPr>
          <w:p w:rsidR="00BF1E02" w:rsidRPr="00CC1E8A" w:rsidRDefault="00BF1E02" w:rsidP="00671A93">
            <w:pPr>
              <w:jc w:val="center"/>
              <w:rPr>
                <w:b/>
                <w:lang w:val="uk-UA"/>
              </w:rPr>
            </w:pPr>
            <w:r w:rsidRPr="00CC1E8A">
              <w:rPr>
                <w:b/>
                <w:lang w:val="uk-UA"/>
              </w:rPr>
              <w:t>Розділ аналізу регуляторного впливу</w:t>
            </w:r>
          </w:p>
        </w:tc>
        <w:tc>
          <w:tcPr>
            <w:tcW w:w="5526" w:type="dxa"/>
            <w:vAlign w:val="center"/>
            <w:hideMark/>
          </w:tcPr>
          <w:p w:rsidR="00BF1E02" w:rsidRPr="00CC1E8A" w:rsidRDefault="00BF1E02" w:rsidP="00671A93">
            <w:pPr>
              <w:jc w:val="center"/>
              <w:rPr>
                <w:b/>
                <w:lang w:val="uk-UA"/>
              </w:rPr>
            </w:pPr>
            <w:r w:rsidRPr="00CC1E8A">
              <w:rPr>
                <w:b/>
                <w:lang w:val="uk-UA"/>
              </w:rPr>
              <w:t>Вимоги до змістовного наповнення розділу</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Визначення проблеми</w:t>
            </w:r>
          </w:p>
        </w:tc>
        <w:tc>
          <w:tcPr>
            <w:tcW w:w="5526" w:type="dxa"/>
            <w:vAlign w:val="center"/>
            <w:hideMark/>
          </w:tcPr>
          <w:p w:rsidR="00BF1E02" w:rsidRPr="00CC1E8A" w:rsidRDefault="00BF1E02" w:rsidP="00671A93">
            <w:pPr>
              <w:jc w:val="both"/>
              <w:rPr>
                <w:lang w:val="uk-UA"/>
              </w:rPr>
            </w:pPr>
            <w:r w:rsidRPr="00CC1E8A">
              <w:rPr>
                <w:lang w:val="uk-UA"/>
              </w:rPr>
              <w:t>Зазначено причини та підстави необхідності прийняття регуляторного акта.</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Визначення цілей регулювання</w:t>
            </w:r>
          </w:p>
        </w:tc>
        <w:tc>
          <w:tcPr>
            <w:tcW w:w="5526" w:type="dxa"/>
            <w:vAlign w:val="center"/>
            <w:hideMark/>
          </w:tcPr>
          <w:p w:rsidR="00BF1E02" w:rsidRPr="00CC1E8A" w:rsidRDefault="00BF1E02" w:rsidP="00671A93">
            <w:pPr>
              <w:jc w:val="both"/>
              <w:rPr>
                <w:lang w:val="uk-UA"/>
              </w:rPr>
            </w:pPr>
            <w:r w:rsidRPr="00CC1E8A">
              <w:rPr>
                <w:lang w:val="uk-UA"/>
              </w:rPr>
              <w:t>Визначено наслідки прийняття та впровадження в дію регуляторного акта.</w:t>
            </w:r>
          </w:p>
        </w:tc>
      </w:tr>
      <w:tr w:rsidR="00BF1E02" w:rsidRPr="00CC1E8A" w:rsidTr="00671A93">
        <w:trPr>
          <w:trHeight w:val="820"/>
          <w:tblCellSpacing w:w="15" w:type="dxa"/>
        </w:trPr>
        <w:tc>
          <w:tcPr>
            <w:tcW w:w="4645" w:type="dxa"/>
            <w:vAlign w:val="center"/>
            <w:hideMark/>
          </w:tcPr>
          <w:p w:rsidR="00BF1E02" w:rsidRPr="00CC1E8A" w:rsidRDefault="00BF1E02" w:rsidP="00671A93">
            <w:pPr>
              <w:rPr>
                <w:b/>
                <w:lang w:val="uk-UA"/>
              </w:rPr>
            </w:pPr>
            <w:r w:rsidRPr="00CC1E8A">
              <w:rPr>
                <w:b/>
                <w:lang w:val="uk-UA"/>
              </w:rPr>
              <w:t>Визначення та оцінка усіх альтернативних способів досягнення зазначених цілей, наведення аргументів щодо переваг обраного способу</w:t>
            </w:r>
          </w:p>
        </w:tc>
        <w:tc>
          <w:tcPr>
            <w:tcW w:w="5526" w:type="dxa"/>
            <w:vAlign w:val="center"/>
            <w:hideMark/>
          </w:tcPr>
          <w:p w:rsidR="00BF1E02" w:rsidRPr="00CC1E8A" w:rsidRDefault="00BF1E02" w:rsidP="00671A93">
            <w:pPr>
              <w:jc w:val="both"/>
              <w:rPr>
                <w:lang w:val="uk-UA"/>
              </w:rPr>
            </w:pPr>
            <w:r w:rsidRPr="00CC1E8A">
              <w:rPr>
                <w:lang w:val="uk-UA"/>
              </w:rPr>
              <w:t>Визначено відсутність альтернативних способів досягнення цілей регуляторного акта, наведено аргументи щодо переваг прийняття акта.</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Опис механізмів, які пропонується застосувати для розв'язання проблема</w:t>
            </w:r>
          </w:p>
        </w:tc>
        <w:tc>
          <w:tcPr>
            <w:tcW w:w="5526" w:type="dxa"/>
            <w:vAlign w:val="center"/>
            <w:hideMark/>
          </w:tcPr>
          <w:p w:rsidR="00BF1E02" w:rsidRPr="00CC1E8A" w:rsidRDefault="00BF1E02" w:rsidP="00671A93">
            <w:pPr>
              <w:jc w:val="both"/>
              <w:rPr>
                <w:lang w:val="uk-UA"/>
              </w:rPr>
            </w:pPr>
            <w:r w:rsidRPr="00CC1E8A">
              <w:rPr>
                <w:lang w:val="uk-UA"/>
              </w:rPr>
              <w:t>Наведено основні принципи i способи досягнення цілей регуляторного акта.</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Визначення очікуваних результатів прийняття акта</w:t>
            </w:r>
          </w:p>
        </w:tc>
        <w:tc>
          <w:tcPr>
            <w:tcW w:w="5526" w:type="dxa"/>
            <w:vAlign w:val="center"/>
            <w:hideMark/>
          </w:tcPr>
          <w:p w:rsidR="00BF1E02" w:rsidRPr="00CC1E8A" w:rsidRDefault="00BF1E02" w:rsidP="00671A93">
            <w:pPr>
              <w:jc w:val="both"/>
              <w:rPr>
                <w:lang w:val="uk-UA"/>
              </w:rPr>
            </w:pPr>
            <w:r w:rsidRPr="00CC1E8A">
              <w:rPr>
                <w:lang w:val="uk-UA"/>
              </w:rPr>
              <w:t>Проведено аналіз переваг та втрат від прийняття регуляторного акта, визначено наслідки його застосування.</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Обґрунтування запропонованого строку дії акта (у разі обмеження цього строку)</w:t>
            </w:r>
          </w:p>
        </w:tc>
        <w:tc>
          <w:tcPr>
            <w:tcW w:w="5526" w:type="dxa"/>
            <w:vAlign w:val="center"/>
            <w:hideMark/>
          </w:tcPr>
          <w:p w:rsidR="00BF1E02" w:rsidRPr="00CC1E8A" w:rsidRDefault="00BF1E02" w:rsidP="00671A93">
            <w:pPr>
              <w:jc w:val="both"/>
              <w:rPr>
                <w:lang w:val="uk-UA"/>
              </w:rPr>
            </w:pPr>
            <w:r w:rsidRPr="00CC1E8A">
              <w:rPr>
                <w:lang w:val="uk-UA"/>
              </w:rPr>
              <w:t>Термін дії акта необмежений, проте залежить від внесення змін до законодавства України.</w:t>
            </w:r>
          </w:p>
        </w:tc>
      </w:tr>
      <w:tr w:rsidR="00BF1E02" w:rsidRPr="00CC1E8A" w:rsidTr="00671A93">
        <w:trPr>
          <w:tblCellSpacing w:w="15" w:type="dxa"/>
        </w:trPr>
        <w:tc>
          <w:tcPr>
            <w:tcW w:w="4645" w:type="dxa"/>
            <w:vAlign w:val="center"/>
            <w:hideMark/>
          </w:tcPr>
          <w:p w:rsidR="00BF1E02" w:rsidRPr="00CC1E8A" w:rsidRDefault="00BF1E02" w:rsidP="00671A93">
            <w:pPr>
              <w:rPr>
                <w:b/>
                <w:lang w:val="uk-UA"/>
              </w:rPr>
            </w:pPr>
            <w:r w:rsidRPr="00CC1E8A">
              <w:rPr>
                <w:b/>
                <w:lang w:val="uk-UA"/>
              </w:rPr>
              <w:t>Визначення заходів, з допомогою яких буде здійснюватися відстеження результативності акта</w:t>
            </w:r>
          </w:p>
        </w:tc>
        <w:tc>
          <w:tcPr>
            <w:tcW w:w="5526" w:type="dxa"/>
            <w:vAlign w:val="center"/>
            <w:hideMark/>
          </w:tcPr>
          <w:p w:rsidR="00BF1E02" w:rsidRPr="00CC1E8A" w:rsidRDefault="00BF1E02" w:rsidP="00671A93">
            <w:pPr>
              <w:jc w:val="both"/>
              <w:rPr>
                <w:lang w:val="uk-UA"/>
              </w:rPr>
            </w:pPr>
            <w:r w:rsidRPr="00CC1E8A">
              <w:rPr>
                <w:lang w:val="uk-UA"/>
              </w:rPr>
              <w:t>Зазначаються показники результативності регуляторного акта, строки проведення відстеження, визначається підрозділ, що здійснюватиме відстеження.</w:t>
            </w:r>
          </w:p>
        </w:tc>
      </w:tr>
    </w:tbl>
    <w:p w:rsidR="00BF1E02" w:rsidRPr="00CC1E8A" w:rsidRDefault="00BF1E02" w:rsidP="00BF1E02">
      <w:pPr>
        <w:jc w:val="both"/>
        <w:rPr>
          <w:b/>
          <w:bCs/>
          <w:color w:val="000000"/>
          <w:sz w:val="28"/>
          <w:szCs w:val="28"/>
          <w:lang w:val="uk-UA"/>
        </w:rPr>
      </w:pPr>
    </w:p>
    <w:p w:rsidR="00BF1E02" w:rsidRPr="00CC1E8A" w:rsidRDefault="00BF1E02" w:rsidP="00BF1E02">
      <w:pPr>
        <w:ind w:firstLine="708"/>
        <w:jc w:val="both"/>
        <w:rPr>
          <w:b/>
          <w:bCs/>
          <w:color w:val="000000"/>
          <w:sz w:val="28"/>
          <w:szCs w:val="28"/>
          <w:lang w:val="uk-UA"/>
        </w:rPr>
      </w:pPr>
      <w:r w:rsidRPr="00CC1E8A">
        <w:rPr>
          <w:color w:val="000000"/>
          <w:sz w:val="28"/>
          <w:szCs w:val="28"/>
          <w:lang w:val="uk-UA"/>
        </w:rPr>
        <w:t>Результати</w:t>
      </w:r>
      <w:r w:rsidRPr="00CC1E8A">
        <w:rPr>
          <w:color w:val="000000"/>
          <w:spacing w:val="-12"/>
          <w:sz w:val="28"/>
          <w:szCs w:val="28"/>
          <w:lang w:val="uk-UA"/>
        </w:rPr>
        <w:t xml:space="preserve"> </w:t>
      </w:r>
      <w:r w:rsidRPr="00CC1E8A">
        <w:rPr>
          <w:color w:val="000000"/>
          <w:sz w:val="28"/>
          <w:szCs w:val="28"/>
          <w:lang w:val="uk-UA"/>
        </w:rPr>
        <w:t>аналізу</w:t>
      </w:r>
      <w:r w:rsidRPr="00CC1E8A">
        <w:rPr>
          <w:color w:val="000000"/>
          <w:spacing w:val="-11"/>
          <w:sz w:val="28"/>
          <w:szCs w:val="28"/>
          <w:lang w:val="uk-UA"/>
        </w:rPr>
        <w:t xml:space="preserve"> </w:t>
      </w:r>
      <w:r w:rsidRPr="00CC1E8A">
        <w:rPr>
          <w:color w:val="000000"/>
          <w:sz w:val="28"/>
          <w:szCs w:val="28"/>
          <w:lang w:val="uk-UA"/>
        </w:rPr>
        <w:t>регуляторного</w:t>
      </w:r>
      <w:r w:rsidRPr="00CC1E8A">
        <w:rPr>
          <w:color w:val="000000"/>
          <w:spacing w:val="-9"/>
          <w:sz w:val="28"/>
          <w:szCs w:val="28"/>
          <w:lang w:val="uk-UA"/>
        </w:rPr>
        <w:t xml:space="preserve"> </w:t>
      </w:r>
      <w:r w:rsidRPr="00CC1E8A">
        <w:rPr>
          <w:color w:val="000000"/>
          <w:sz w:val="28"/>
          <w:szCs w:val="28"/>
          <w:lang w:val="uk-UA"/>
        </w:rPr>
        <w:t>впливу</w:t>
      </w:r>
      <w:r w:rsidRPr="00CC1E8A">
        <w:rPr>
          <w:color w:val="000000"/>
          <w:spacing w:val="-8"/>
          <w:sz w:val="28"/>
          <w:szCs w:val="28"/>
          <w:lang w:val="uk-UA"/>
        </w:rPr>
        <w:t xml:space="preserve"> </w:t>
      </w:r>
      <w:r w:rsidRPr="00CC1E8A">
        <w:rPr>
          <w:color w:val="000000"/>
          <w:sz w:val="28"/>
          <w:szCs w:val="28"/>
          <w:lang w:val="uk-UA"/>
        </w:rPr>
        <w:t>до</w:t>
      </w:r>
      <w:r w:rsidRPr="00CC1E8A">
        <w:rPr>
          <w:color w:val="000000"/>
          <w:spacing w:val="-17"/>
          <w:sz w:val="28"/>
          <w:szCs w:val="28"/>
          <w:lang w:val="uk-UA"/>
        </w:rPr>
        <w:t xml:space="preserve"> </w:t>
      </w:r>
      <w:r>
        <w:rPr>
          <w:color w:val="000000"/>
          <w:sz w:val="28"/>
          <w:szCs w:val="28"/>
          <w:lang w:val="uk-UA"/>
        </w:rPr>
        <w:t>проє</w:t>
      </w:r>
      <w:r w:rsidRPr="00CC1E8A">
        <w:rPr>
          <w:color w:val="000000"/>
          <w:sz w:val="28"/>
          <w:szCs w:val="28"/>
          <w:lang w:val="uk-UA"/>
        </w:rPr>
        <w:t>кту</w:t>
      </w:r>
      <w:r w:rsidRPr="00CC1E8A">
        <w:rPr>
          <w:color w:val="000000"/>
          <w:spacing w:val="-10"/>
          <w:sz w:val="28"/>
          <w:szCs w:val="28"/>
          <w:lang w:val="uk-UA"/>
        </w:rPr>
        <w:t xml:space="preserve"> </w:t>
      </w:r>
      <w:r w:rsidRPr="00CC1E8A">
        <w:rPr>
          <w:color w:val="000000"/>
          <w:sz w:val="28"/>
          <w:szCs w:val="28"/>
          <w:lang w:val="uk-UA"/>
        </w:rPr>
        <w:t>регуляторного</w:t>
      </w:r>
      <w:r w:rsidRPr="00CC1E8A">
        <w:rPr>
          <w:color w:val="000000"/>
          <w:spacing w:val="-6"/>
          <w:sz w:val="28"/>
          <w:szCs w:val="28"/>
          <w:lang w:val="uk-UA"/>
        </w:rPr>
        <w:t xml:space="preserve"> </w:t>
      </w:r>
      <w:r w:rsidRPr="00CC1E8A">
        <w:rPr>
          <w:color w:val="000000"/>
          <w:sz w:val="28"/>
          <w:szCs w:val="28"/>
          <w:lang w:val="uk-UA"/>
        </w:rPr>
        <w:t xml:space="preserve">акта </w:t>
      </w:r>
      <w:r w:rsidRPr="00CC1E8A">
        <w:rPr>
          <w:bCs/>
          <w:color w:val="000000"/>
          <w:sz w:val="28"/>
          <w:szCs w:val="28"/>
          <w:lang w:val="uk-UA"/>
        </w:rPr>
        <w:t>«Про затвердження «Правил приймання стічних вод до систем централізованого водовідведення</w:t>
      </w:r>
      <w:bookmarkStart w:id="0" w:name="_GoBack"/>
      <w:bookmarkEnd w:id="0"/>
      <w:r w:rsidRPr="00CC1E8A">
        <w:rPr>
          <w:bCs/>
          <w:color w:val="000000"/>
          <w:sz w:val="28"/>
          <w:szCs w:val="28"/>
          <w:lang w:val="uk-UA"/>
        </w:rPr>
        <w:t xml:space="preserve"> Рівненського обласного виробничого комунального підприємства водопровідно-каналізаційного господарства «Рівнеоблводоканал» </w:t>
      </w:r>
      <w:r w:rsidRPr="00CC1E8A">
        <w:rPr>
          <w:color w:val="000000"/>
          <w:sz w:val="28"/>
          <w:szCs w:val="28"/>
          <w:lang w:val="uk-UA"/>
        </w:rPr>
        <w:t xml:space="preserve">викладені у письмовій формі й оприлюднені </w:t>
      </w:r>
      <w:r w:rsidRPr="00CC1E8A">
        <w:rPr>
          <w:color w:val="000000"/>
          <w:spacing w:val="-2"/>
          <w:sz w:val="28"/>
          <w:szCs w:val="28"/>
          <w:lang w:val="uk-UA"/>
        </w:rPr>
        <w:t>відповідно</w:t>
      </w:r>
      <w:r w:rsidRPr="00CC1E8A">
        <w:rPr>
          <w:color w:val="000000"/>
          <w:spacing w:val="-15"/>
          <w:sz w:val="28"/>
          <w:szCs w:val="28"/>
          <w:lang w:val="uk-UA"/>
        </w:rPr>
        <w:t xml:space="preserve"> </w:t>
      </w:r>
      <w:r w:rsidRPr="00CC1E8A">
        <w:rPr>
          <w:color w:val="000000"/>
          <w:spacing w:val="-2"/>
          <w:sz w:val="28"/>
          <w:szCs w:val="28"/>
          <w:lang w:val="uk-UA"/>
        </w:rPr>
        <w:lastRenderedPageBreak/>
        <w:t>до</w:t>
      </w:r>
      <w:r w:rsidRPr="00CC1E8A">
        <w:rPr>
          <w:color w:val="000000"/>
          <w:spacing w:val="-15"/>
          <w:sz w:val="28"/>
          <w:szCs w:val="28"/>
          <w:lang w:val="uk-UA"/>
        </w:rPr>
        <w:t xml:space="preserve"> </w:t>
      </w:r>
      <w:r w:rsidRPr="00CC1E8A">
        <w:rPr>
          <w:color w:val="000000"/>
          <w:spacing w:val="-2"/>
          <w:sz w:val="28"/>
          <w:szCs w:val="28"/>
          <w:lang w:val="uk-UA"/>
        </w:rPr>
        <w:t>вимог</w:t>
      </w:r>
      <w:r w:rsidRPr="00CC1E8A">
        <w:rPr>
          <w:color w:val="000000"/>
          <w:spacing w:val="-15"/>
          <w:sz w:val="28"/>
          <w:szCs w:val="28"/>
          <w:lang w:val="uk-UA"/>
        </w:rPr>
        <w:t xml:space="preserve"> </w:t>
      </w:r>
      <w:r w:rsidRPr="00CC1E8A">
        <w:rPr>
          <w:color w:val="000000"/>
          <w:spacing w:val="-2"/>
          <w:sz w:val="28"/>
          <w:szCs w:val="28"/>
          <w:lang w:val="uk-UA"/>
        </w:rPr>
        <w:t>ст.</w:t>
      </w:r>
      <w:r w:rsidRPr="00CC1E8A">
        <w:rPr>
          <w:color w:val="000000"/>
          <w:spacing w:val="-15"/>
          <w:sz w:val="28"/>
          <w:szCs w:val="28"/>
          <w:lang w:val="uk-UA"/>
        </w:rPr>
        <w:t xml:space="preserve"> </w:t>
      </w:r>
      <w:r w:rsidRPr="00CC1E8A">
        <w:rPr>
          <w:color w:val="000000"/>
          <w:spacing w:val="-2"/>
          <w:sz w:val="28"/>
          <w:szCs w:val="28"/>
          <w:lang w:val="uk-UA"/>
        </w:rPr>
        <w:t>13</w:t>
      </w:r>
      <w:r w:rsidRPr="00CC1E8A">
        <w:rPr>
          <w:color w:val="000000"/>
          <w:spacing w:val="-12"/>
          <w:sz w:val="28"/>
          <w:szCs w:val="28"/>
          <w:lang w:val="uk-UA"/>
        </w:rPr>
        <w:t xml:space="preserve"> </w:t>
      </w:r>
      <w:r w:rsidRPr="00CC1E8A">
        <w:rPr>
          <w:color w:val="000000"/>
          <w:spacing w:val="-2"/>
          <w:sz w:val="28"/>
          <w:szCs w:val="28"/>
          <w:lang w:val="uk-UA"/>
        </w:rPr>
        <w:t>Закону</w:t>
      </w:r>
      <w:r w:rsidRPr="00CC1E8A">
        <w:rPr>
          <w:color w:val="000000"/>
          <w:spacing w:val="-4"/>
          <w:sz w:val="28"/>
          <w:szCs w:val="28"/>
          <w:lang w:val="uk-UA"/>
        </w:rPr>
        <w:t xml:space="preserve"> </w:t>
      </w:r>
      <w:r w:rsidRPr="00CC1E8A">
        <w:rPr>
          <w:color w:val="000000"/>
          <w:spacing w:val="-2"/>
          <w:sz w:val="28"/>
          <w:szCs w:val="28"/>
          <w:lang w:val="uk-UA"/>
        </w:rPr>
        <w:t>України</w:t>
      </w:r>
      <w:r w:rsidRPr="00CC1E8A">
        <w:rPr>
          <w:color w:val="000000"/>
          <w:spacing w:val="-8"/>
          <w:sz w:val="28"/>
          <w:szCs w:val="28"/>
          <w:lang w:val="uk-UA"/>
        </w:rPr>
        <w:t xml:space="preserve"> </w:t>
      </w:r>
      <w:r w:rsidRPr="00CC1E8A">
        <w:rPr>
          <w:color w:val="000000"/>
          <w:spacing w:val="-2"/>
          <w:sz w:val="28"/>
          <w:szCs w:val="28"/>
          <w:lang w:val="uk-UA"/>
        </w:rPr>
        <w:t>«Про</w:t>
      </w:r>
      <w:r w:rsidRPr="00CC1E8A">
        <w:rPr>
          <w:color w:val="000000"/>
          <w:spacing w:val="-15"/>
          <w:sz w:val="28"/>
          <w:szCs w:val="28"/>
          <w:lang w:val="uk-UA"/>
        </w:rPr>
        <w:t xml:space="preserve"> </w:t>
      </w:r>
      <w:r w:rsidRPr="00CC1E8A">
        <w:rPr>
          <w:color w:val="000000"/>
          <w:spacing w:val="-2"/>
          <w:sz w:val="28"/>
          <w:szCs w:val="28"/>
          <w:lang w:val="uk-UA"/>
        </w:rPr>
        <w:t>засади</w:t>
      </w:r>
      <w:r w:rsidRPr="00CC1E8A">
        <w:rPr>
          <w:color w:val="000000"/>
          <w:spacing w:val="-11"/>
          <w:sz w:val="28"/>
          <w:szCs w:val="28"/>
          <w:lang w:val="uk-UA"/>
        </w:rPr>
        <w:t xml:space="preserve"> </w:t>
      </w:r>
      <w:r w:rsidRPr="00CC1E8A">
        <w:rPr>
          <w:color w:val="000000"/>
          <w:spacing w:val="-2"/>
          <w:sz w:val="28"/>
          <w:szCs w:val="28"/>
          <w:lang w:val="uk-UA"/>
        </w:rPr>
        <w:t>державної</w:t>
      </w:r>
      <w:r w:rsidRPr="00CC1E8A">
        <w:rPr>
          <w:color w:val="000000"/>
          <w:spacing w:val="-13"/>
          <w:sz w:val="28"/>
          <w:szCs w:val="28"/>
          <w:lang w:val="uk-UA"/>
        </w:rPr>
        <w:t xml:space="preserve"> </w:t>
      </w:r>
      <w:r w:rsidRPr="00CC1E8A">
        <w:rPr>
          <w:color w:val="000000"/>
          <w:spacing w:val="-2"/>
          <w:sz w:val="28"/>
          <w:szCs w:val="28"/>
          <w:lang w:val="uk-UA"/>
        </w:rPr>
        <w:t>регуляторної політики</w:t>
      </w:r>
      <w:r w:rsidRPr="00CC1E8A">
        <w:rPr>
          <w:color w:val="000000"/>
          <w:spacing w:val="-11"/>
          <w:sz w:val="28"/>
          <w:szCs w:val="28"/>
          <w:lang w:val="uk-UA"/>
        </w:rPr>
        <w:t xml:space="preserve"> </w:t>
      </w:r>
      <w:r w:rsidRPr="00CC1E8A">
        <w:rPr>
          <w:color w:val="000000"/>
          <w:spacing w:val="-2"/>
          <w:sz w:val="28"/>
          <w:szCs w:val="28"/>
          <w:lang w:val="uk-UA"/>
        </w:rPr>
        <w:t>у сфері</w:t>
      </w:r>
      <w:r w:rsidRPr="00CC1E8A">
        <w:rPr>
          <w:color w:val="000000"/>
          <w:spacing w:val="-15"/>
          <w:sz w:val="28"/>
          <w:szCs w:val="28"/>
          <w:lang w:val="uk-UA"/>
        </w:rPr>
        <w:t xml:space="preserve"> </w:t>
      </w:r>
      <w:r w:rsidRPr="00CC1E8A">
        <w:rPr>
          <w:color w:val="000000"/>
          <w:spacing w:val="-2"/>
          <w:sz w:val="28"/>
          <w:szCs w:val="28"/>
          <w:lang w:val="uk-UA"/>
        </w:rPr>
        <w:t>господарської</w:t>
      </w:r>
      <w:r w:rsidRPr="00CC1E8A">
        <w:rPr>
          <w:color w:val="000000"/>
          <w:spacing w:val="-5"/>
          <w:sz w:val="28"/>
          <w:szCs w:val="28"/>
          <w:lang w:val="uk-UA"/>
        </w:rPr>
        <w:t xml:space="preserve"> </w:t>
      </w:r>
      <w:r w:rsidRPr="00CC1E8A">
        <w:rPr>
          <w:color w:val="000000"/>
          <w:spacing w:val="-2"/>
          <w:sz w:val="28"/>
          <w:szCs w:val="28"/>
          <w:lang w:val="uk-UA"/>
        </w:rPr>
        <w:t>діяльності»</w:t>
      </w:r>
      <w:r w:rsidRPr="00CC1E8A">
        <w:rPr>
          <w:color w:val="000000"/>
          <w:spacing w:val="-6"/>
          <w:sz w:val="28"/>
          <w:szCs w:val="28"/>
          <w:lang w:val="uk-UA"/>
        </w:rPr>
        <w:t xml:space="preserve"> </w:t>
      </w:r>
      <w:r w:rsidRPr="00CC1E8A">
        <w:rPr>
          <w:color w:val="000000"/>
          <w:spacing w:val="-2"/>
          <w:sz w:val="28"/>
          <w:szCs w:val="28"/>
          <w:lang w:val="uk-UA"/>
        </w:rPr>
        <w:t>на</w:t>
      </w:r>
      <w:r w:rsidRPr="00CC1E8A">
        <w:rPr>
          <w:color w:val="000000"/>
          <w:spacing w:val="-15"/>
          <w:sz w:val="28"/>
          <w:szCs w:val="28"/>
          <w:lang w:val="uk-UA"/>
        </w:rPr>
        <w:t xml:space="preserve"> </w:t>
      </w:r>
      <w:r w:rsidRPr="00CC1E8A">
        <w:rPr>
          <w:color w:val="000000"/>
          <w:spacing w:val="-2"/>
          <w:sz w:val="28"/>
          <w:szCs w:val="28"/>
          <w:lang w:val="uk-UA"/>
        </w:rPr>
        <w:t>офіційній</w:t>
      </w:r>
      <w:r w:rsidRPr="00CC1E8A">
        <w:rPr>
          <w:color w:val="000000"/>
          <w:spacing w:val="-10"/>
          <w:sz w:val="28"/>
          <w:szCs w:val="28"/>
          <w:lang w:val="uk-UA"/>
        </w:rPr>
        <w:t xml:space="preserve"> </w:t>
      </w:r>
      <w:r w:rsidRPr="00CC1E8A">
        <w:rPr>
          <w:color w:val="000000"/>
          <w:spacing w:val="-2"/>
          <w:sz w:val="28"/>
          <w:szCs w:val="28"/>
          <w:lang w:val="uk-UA"/>
        </w:rPr>
        <w:t>веб-сторінці</w:t>
      </w:r>
      <w:r w:rsidRPr="00CC1E8A">
        <w:rPr>
          <w:color w:val="000000"/>
          <w:spacing w:val="4"/>
          <w:sz w:val="28"/>
          <w:szCs w:val="28"/>
          <w:lang w:val="uk-UA"/>
        </w:rPr>
        <w:t xml:space="preserve"> </w:t>
      </w:r>
      <w:r w:rsidRPr="00CC1E8A">
        <w:rPr>
          <w:color w:val="000000"/>
          <w:spacing w:val="-2"/>
          <w:sz w:val="28"/>
          <w:szCs w:val="28"/>
          <w:lang w:val="uk-UA"/>
        </w:rPr>
        <w:t>РОВКП ВКГ «Рівнеоблводоканал»</w:t>
      </w:r>
      <w:r w:rsidRPr="00CC1E8A">
        <w:rPr>
          <w:color w:val="000000"/>
          <w:spacing w:val="-15"/>
          <w:sz w:val="28"/>
          <w:szCs w:val="28"/>
          <w:lang w:val="uk-UA"/>
        </w:rPr>
        <w:t xml:space="preserve"> </w:t>
      </w:r>
      <w:r w:rsidRPr="00CC1E8A">
        <w:rPr>
          <w:color w:val="000000"/>
          <w:spacing w:val="-2"/>
          <w:sz w:val="28"/>
          <w:szCs w:val="28"/>
          <w:lang w:val="uk-UA"/>
        </w:rPr>
        <w:t>у</w:t>
      </w:r>
      <w:r w:rsidRPr="00CC1E8A">
        <w:rPr>
          <w:color w:val="000000"/>
          <w:spacing w:val="-15"/>
          <w:sz w:val="28"/>
          <w:szCs w:val="28"/>
          <w:lang w:val="uk-UA"/>
        </w:rPr>
        <w:t xml:space="preserve"> </w:t>
      </w:r>
      <w:r w:rsidRPr="00CC1E8A">
        <w:rPr>
          <w:color w:val="000000"/>
          <w:spacing w:val="-2"/>
          <w:sz w:val="28"/>
          <w:szCs w:val="28"/>
          <w:lang w:val="uk-UA"/>
        </w:rPr>
        <w:t>мережі</w:t>
      </w:r>
      <w:r w:rsidRPr="00CC1E8A">
        <w:rPr>
          <w:color w:val="000000"/>
          <w:spacing w:val="-4"/>
          <w:sz w:val="28"/>
          <w:szCs w:val="28"/>
          <w:lang w:val="uk-UA"/>
        </w:rPr>
        <w:t xml:space="preserve"> </w:t>
      </w:r>
      <w:r w:rsidRPr="00CC1E8A">
        <w:rPr>
          <w:color w:val="000000"/>
          <w:spacing w:val="-2"/>
          <w:sz w:val="28"/>
          <w:szCs w:val="28"/>
          <w:lang w:val="uk-UA"/>
        </w:rPr>
        <w:t>Інтернет.</w:t>
      </w:r>
    </w:p>
    <w:p w:rsidR="00BF1E02" w:rsidRDefault="00BF1E02" w:rsidP="00BF1E02">
      <w:pPr>
        <w:jc w:val="center"/>
        <w:rPr>
          <w:b/>
          <w:bCs/>
          <w:sz w:val="28"/>
          <w:szCs w:val="28"/>
          <w:lang w:val="uk-UA"/>
        </w:rPr>
      </w:pPr>
    </w:p>
    <w:p w:rsidR="00BF1E02" w:rsidRPr="00CC1E8A" w:rsidRDefault="00BF1E02" w:rsidP="00BF1E02">
      <w:pPr>
        <w:jc w:val="center"/>
        <w:rPr>
          <w:b/>
          <w:bCs/>
          <w:sz w:val="28"/>
          <w:szCs w:val="28"/>
          <w:lang w:val="uk-UA"/>
        </w:rPr>
      </w:pPr>
    </w:p>
    <w:p w:rsidR="00BF1E02" w:rsidRPr="00CC1E8A" w:rsidRDefault="00BF1E02" w:rsidP="00BF1E02">
      <w:pPr>
        <w:jc w:val="center"/>
        <w:rPr>
          <w:b/>
          <w:bCs/>
          <w:sz w:val="28"/>
          <w:szCs w:val="28"/>
          <w:lang w:val="uk-UA"/>
        </w:rPr>
      </w:pPr>
      <w:r w:rsidRPr="00CC1E8A">
        <w:rPr>
          <w:b/>
          <w:bCs/>
          <w:sz w:val="28"/>
          <w:szCs w:val="28"/>
          <w:lang w:val="uk-UA"/>
        </w:rPr>
        <w:t>ЗАГАЛЬНИЙ ВИСНОВОК</w:t>
      </w:r>
    </w:p>
    <w:p w:rsidR="00BF1E02" w:rsidRPr="00CC1E8A" w:rsidRDefault="00BF1E02" w:rsidP="00BF1E02">
      <w:pPr>
        <w:jc w:val="center"/>
        <w:rPr>
          <w:sz w:val="28"/>
          <w:szCs w:val="28"/>
          <w:lang w:val="uk-UA"/>
        </w:rPr>
      </w:pPr>
    </w:p>
    <w:p w:rsidR="00BF1E02" w:rsidRPr="00CC1E8A" w:rsidRDefault="00BF1E02" w:rsidP="00BF1E02">
      <w:pPr>
        <w:jc w:val="both"/>
        <w:rPr>
          <w:sz w:val="28"/>
          <w:szCs w:val="28"/>
          <w:lang w:val="uk-UA"/>
        </w:rPr>
      </w:pPr>
      <w:r w:rsidRPr="00CC1E8A">
        <w:rPr>
          <w:sz w:val="28"/>
          <w:szCs w:val="28"/>
          <w:lang w:val="uk-UA"/>
        </w:rPr>
        <w:tab/>
        <w:t>За результатами експертизи проєкту регуляторного акта</w:t>
      </w:r>
      <w:r w:rsidRPr="00CC1E8A">
        <w:rPr>
          <w:color w:val="1A1A1A"/>
          <w:sz w:val="28"/>
          <w:szCs w:val="28"/>
          <w:lang w:val="uk-UA"/>
        </w:rPr>
        <w:t xml:space="preserve"> </w:t>
      </w:r>
      <w:r w:rsidRPr="00CC1E8A">
        <w:rPr>
          <w:bCs/>
          <w:sz w:val="28"/>
          <w:szCs w:val="28"/>
          <w:lang w:val="uk-UA"/>
        </w:rPr>
        <w:t>«Про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«Рівнеоблводоканал»</w:t>
      </w:r>
      <w:r w:rsidRPr="00CC1E8A">
        <w:rPr>
          <w:sz w:val="28"/>
          <w:szCs w:val="28"/>
          <w:lang w:val="uk-UA"/>
        </w:rPr>
        <w:t>, проведеної постійною комісією  Рівненської обласної ради з</w:t>
      </w:r>
      <w:r>
        <w:rPr>
          <w:sz w:val="28"/>
          <w:szCs w:val="28"/>
          <w:lang w:val="uk-UA"/>
        </w:rPr>
        <w:t xml:space="preserve"> економічних питань та комунальної власності, </w:t>
      </w:r>
      <w:r w:rsidRPr="00CC1E8A">
        <w:rPr>
          <w:sz w:val="28"/>
          <w:szCs w:val="28"/>
          <w:lang w:val="uk-UA"/>
        </w:rPr>
        <w:t>встановлено, що проєкт регуляторного акта відповідає вимогам статей 4 та 8 Закону України «Про засади державної регуляторної політики у сфері господарської діяльності», спрямований на досягнення економічно обґрунтованого, екологічно безпечного та соціально відповідального розвитку регіону та може бути винесений на розгляд сесії Рівненської обласної ради.</w:t>
      </w:r>
    </w:p>
    <w:p w:rsidR="00BF1E02" w:rsidRPr="00CC1E8A" w:rsidRDefault="00BF1E02" w:rsidP="00BF1E02">
      <w:pPr>
        <w:rPr>
          <w:sz w:val="28"/>
          <w:szCs w:val="28"/>
          <w:lang w:val="uk-UA"/>
        </w:rPr>
      </w:pPr>
      <w:r w:rsidRPr="00CC1E8A">
        <w:rPr>
          <w:sz w:val="28"/>
          <w:szCs w:val="28"/>
          <w:lang w:val="uk-UA"/>
        </w:rPr>
        <w:t> </w:t>
      </w:r>
    </w:p>
    <w:p w:rsidR="00BF1E02" w:rsidRPr="00CC1E8A" w:rsidRDefault="00BF1E02" w:rsidP="00BF1E02">
      <w:pPr>
        <w:rPr>
          <w:sz w:val="28"/>
          <w:szCs w:val="28"/>
          <w:lang w:val="uk-UA"/>
        </w:rPr>
      </w:pPr>
      <w:r w:rsidRPr="00CC1E8A">
        <w:rPr>
          <w:sz w:val="28"/>
          <w:szCs w:val="28"/>
          <w:lang w:val="uk-UA"/>
        </w:rPr>
        <w:t> </w:t>
      </w:r>
    </w:p>
    <w:p w:rsidR="00BF1E02" w:rsidRPr="00CC1E8A" w:rsidRDefault="00BF1E02" w:rsidP="00BF1E02">
      <w:pPr>
        <w:rPr>
          <w:sz w:val="28"/>
          <w:szCs w:val="28"/>
          <w:lang w:val="uk-UA"/>
        </w:rPr>
      </w:pPr>
    </w:p>
    <w:p w:rsidR="00BF1E02" w:rsidRPr="00CC1E8A" w:rsidRDefault="00BF1E02" w:rsidP="00BF1E02">
      <w:pPr>
        <w:rPr>
          <w:sz w:val="28"/>
          <w:szCs w:val="28"/>
          <w:lang w:val="uk-UA"/>
        </w:rPr>
      </w:pPr>
    </w:p>
    <w:p w:rsidR="00BF1E02" w:rsidRPr="00CC1E8A" w:rsidRDefault="00BF1E02" w:rsidP="00BF1E02">
      <w:pPr>
        <w:rPr>
          <w:sz w:val="28"/>
          <w:szCs w:val="28"/>
          <w:lang w:val="uk-UA"/>
        </w:rPr>
      </w:pPr>
    </w:p>
    <w:p w:rsidR="00BF1E02" w:rsidRPr="00CC1E8A" w:rsidRDefault="00BF1E02" w:rsidP="00BF1E02">
      <w:pPr>
        <w:ind w:firstLine="567"/>
        <w:rPr>
          <w:b/>
          <w:bCs/>
          <w:iCs/>
          <w:color w:val="000000"/>
          <w:sz w:val="28"/>
          <w:szCs w:val="28"/>
          <w:lang w:val="uk-UA"/>
        </w:rPr>
      </w:pPr>
      <w:r w:rsidRPr="00CC1E8A">
        <w:rPr>
          <w:b/>
          <w:bCs/>
          <w:sz w:val="28"/>
          <w:szCs w:val="28"/>
          <w:lang w:val="uk-UA"/>
        </w:rPr>
        <w:t xml:space="preserve">Голова </w:t>
      </w:r>
      <w:r w:rsidRPr="00CC1E8A">
        <w:rPr>
          <w:b/>
          <w:color w:val="000000"/>
          <w:sz w:val="28"/>
          <w:szCs w:val="28"/>
          <w:lang w:val="uk-UA"/>
        </w:rPr>
        <w:t xml:space="preserve">комісії </w:t>
      </w:r>
      <w:r w:rsidRPr="00CC1E8A">
        <w:rPr>
          <w:b/>
          <w:bCs/>
          <w:iCs/>
          <w:color w:val="000000"/>
          <w:sz w:val="28"/>
          <w:szCs w:val="28"/>
          <w:lang w:val="uk-UA"/>
        </w:rPr>
        <w:tab/>
      </w:r>
      <w:r>
        <w:rPr>
          <w:b/>
          <w:bCs/>
          <w:iCs/>
          <w:color w:val="000000"/>
          <w:sz w:val="28"/>
          <w:szCs w:val="28"/>
          <w:lang w:val="uk-UA"/>
        </w:rPr>
        <w:tab/>
      </w:r>
      <w:r>
        <w:rPr>
          <w:b/>
          <w:bCs/>
          <w:iCs/>
          <w:color w:val="000000"/>
          <w:sz w:val="28"/>
          <w:szCs w:val="28"/>
          <w:lang w:val="uk-UA"/>
        </w:rPr>
        <w:tab/>
      </w:r>
      <w:r>
        <w:rPr>
          <w:b/>
          <w:bCs/>
          <w:iCs/>
          <w:color w:val="000000"/>
          <w:sz w:val="28"/>
          <w:szCs w:val="28"/>
          <w:lang w:val="uk-UA"/>
        </w:rPr>
        <w:tab/>
      </w:r>
      <w:r>
        <w:rPr>
          <w:b/>
          <w:bCs/>
          <w:iCs/>
          <w:color w:val="000000"/>
          <w:sz w:val="28"/>
          <w:szCs w:val="28"/>
          <w:lang w:val="uk-UA"/>
        </w:rPr>
        <w:tab/>
      </w:r>
      <w:r>
        <w:rPr>
          <w:b/>
          <w:bCs/>
          <w:iCs/>
          <w:color w:val="000000"/>
          <w:sz w:val="28"/>
          <w:szCs w:val="28"/>
          <w:lang w:val="uk-UA"/>
        </w:rPr>
        <w:tab/>
      </w:r>
      <w:r>
        <w:rPr>
          <w:b/>
          <w:bCs/>
          <w:iCs/>
          <w:color w:val="000000"/>
          <w:sz w:val="28"/>
          <w:szCs w:val="28"/>
          <w:lang w:val="uk-UA"/>
        </w:rPr>
        <w:tab/>
        <w:t>Андрій ПЕХОТІН</w:t>
      </w:r>
    </w:p>
    <w:p w:rsidR="00BF1E02" w:rsidRPr="00CC1E8A" w:rsidRDefault="00BF1E02" w:rsidP="00BF1E02">
      <w:pPr>
        <w:ind w:firstLine="540"/>
        <w:jc w:val="both"/>
        <w:rPr>
          <w:bCs/>
          <w:color w:val="000000"/>
          <w:sz w:val="28"/>
          <w:szCs w:val="28"/>
          <w:lang w:val="uk-UA"/>
        </w:rPr>
      </w:pPr>
    </w:p>
    <w:p w:rsidR="00BF1E02" w:rsidRPr="00CC1E8A" w:rsidRDefault="00BF1E02" w:rsidP="00BF1E02">
      <w:pPr>
        <w:ind w:firstLine="540"/>
        <w:jc w:val="both"/>
        <w:rPr>
          <w:bCs/>
          <w:color w:val="000000"/>
          <w:sz w:val="28"/>
          <w:szCs w:val="28"/>
          <w:lang w:val="uk-UA"/>
        </w:rPr>
      </w:pPr>
    </w:p>
    <w:p w:rsidR="00BF1E02" w:rsidRPr="00CC1E8A" w:rsidRDefault="00BF1E02" w:rsidP="00BF1E02">
      <w:pPr>
        <w:ind w:firstLine="540"/>
        <w:jc w:val="both"/>
        <w:rPr>
          <w:bCs/>
          <w:color w:val="000000"/>
          <w:sz w:val="28"/>
          <w:szCs w:val="28"/>
          <w:lang w:val="uk-UA"/>
        </w:rPr>
      </w:pPr>
    </w:p>
    <w:p w:rsidR="00D56E44" w:rsidRDefault="00D56E44"/>
    <w:sectPr w:rsidR="00D56E44" w:rsidSect="00BF1E02">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02"/>
    <w:rsid w:val="00BF1E02"/>
    <w:rsid w:val="00D56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5397</Words>
  <Characters>3077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Tetyana_T</dc:creator>
  <cp:lastModifiedBy>Tetyana_T</cp:lastModifiedBy>
  <cp:revision>1</cp:revision>
  <dcterms:created xsi:type="dcterms:W3CDTF">2025-06-17T06:31:00Z</dcterms:created>
  <dcterms:modified xsi:type="dcterms:W3CDTF">2025-06-17T06:33:00Z</dcterms:modified>
</cp:coreProperties>
</file>