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D96843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3E160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центр народної творчості»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Рівненський обласний центр народної творчості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01</w:t>
      </w:r>
      <w:r w:rsidRPr="00193B54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1</w:t>
      </w:r>
      <w:r w:rsidRPr="00193B54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 №360</w:t>
      </w:r>
      <w:r w:rsidRPr="00193B54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17"/>
        </w:numPr>
        <w:ind w:left="42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внесення змін до Статуту </w:t>
                  </w:r>
                  <w:r w:rsidRPr="00536C8C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>Навчально-реабілітаційного центру</w:t>
                  </w:r>
                  <w:r w:rsidRPr="00536C8C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br/>
                    <w:t xml:space="preserve">в с. </w:t>
                  </w:r>
                  <w:proofErr w:type="spellStart"/>
                  <w:r w:rsidRPr="00536C8C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>Ясининичі</w:t>
                  </w:r>
                  <w:proofErr w:type="spellEnd"/>
                  <w:r w:rsidRPr="00536C8C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Рівненської обласної ради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A9781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A9781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A9781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15">
        <w:rPr>
          <w:rFonts w:ascii="Times New Roman" w:hAnsi="Times New Roman" w:cs="Times New Roman"/>
          <w:sz w:val="28"/>
          <w:szCs w:val="28"/>
        </w:rPr>
        <w:t xml:space="preserve">2. Рекомендувати голові обласної ради </w:t>
      </w:r>
      <w:proofErr w:type="spellStart"/>
      <w:r w:rsidRPr="00A9781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97815">
        <w:rPr>
          <w:rFonts w:ascii="Times New Roman" w:hAnsi="Times New Roman" w:cs="Times New Roman"/>
          <w:sz w:val="28"/>
          <w:szCs w:val="28"/>
        </w:rPr>
        <w:t xml:space="preserve"> дане питання на розгляд президії обласної ради.</w:t>
      </w:r>
    </w:p>
    <w:p w:rsidR="004019E1" w:rsidRPr="00F16585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</w:t>
      </w:r>
      <w:r>
        <w:rPr>
          <w:sz w:val="28"/>
          <w:szCs w:val="28"/>
          <w:lang w:val="uk-UA"/>
        </w:rPr>
        <w:t xml:space="preserve">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Про внесення змін до рішення обласної ради від 17.12.2021 № 441 «Про питання організації та встановлення вартості харчування у закладах освіти»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4019E1" w:rsidRPr="004F1D0A" w:rsidRDefault="00FC77E6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Департаменту освіти т</w:t>
      </w:r>
      <w:r w:rsidR="004019E1">
        <w:rPr>
          <w:rFonts w:ascii="Times New Roman" w:hAnsi="Times New Roman" w:cs="Times New Roman"/>
          <w:sz w:val="28"/>
          <w:szCs w:val="28"/>
        </w:rPr>
        <w:t xml:space="preserve">а науки облдержадміністрації </w:t>
      </w:r>
      <w:r w:rsidR="0020753B">
        <w:rPr>
          <w:rFonts w:ascii="Times New Roman" w:hAnsi="Times New Roman" w:cs="Times New Roman"/>
          <w:sz w:val="28"/>
          <w:szCs w:val="28"/>
        </w:rPr>
        <w:t>до 17.12.2024</w:t>
      </w:r>
      <w:r w:rsidR="002075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19E1">
        <w:rPr>
          <w:rFonts w:ascii="Times New Roman" w:hAnsi="Times New Roman" w:cs="Times New Roman"/>
          <w:sz w:val="28"/>
          <w:szCs w:val="28"/>
        </w:rPr>
        <w:t xml:space="preserve">надати обласній раді </w:t>
      </w:r>
      <w:r w:rsidR="004019E1" w:rsidRPr="00217939">
        <w:rPr>
          <w:rFonts w:ascii="Times New Roman" w:hAnsi="Times New Roman" w:cs="Times New Roman"/>
          <w:sz w:val="28"/>
          <w:szCs w:val="28"/>
        </w:rPr>
        <w:t xml:space="preserve">інформацію щодо </w:t>
      </w:r>
      <w:r w:rsidR="004019E1" w:rsidRPr="00217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вартості харчування у закладах освіти</w:t>
      </w:r>
      <w:r w:rsidR="004019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Рівненської області за кошти д</w:t>
      </w:r>
      <w:r w:rsidR="004019E1" w:rsidRPr="00217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ержавного </w:t>
      </w:r>
      <w:r w:rsidR="004019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та місцевих бюджетів.</w:t>
      </w:r>
    </w:p>
    <w:p w:rsidR="004019E1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</w:t>
      </w:r>
      <w:r>
        <w:rPr>
          <w:sz w:val="28"/>
          <w:szCs w:val="28"/>
          <w:lang w:val="uk-UA"/>
        </w:rPr>
        <w:t xml:space="preserve">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rStyle w:val="a9"/>
                      <w:bCs w:val="0"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Про прийняття нерухомого майна у спільну власність територіальних громад сіл, селищ, міст Рівненської області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4019E1" w:rsidRPr="00F16585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                         №</w:t>
      </w:r>
      <w:r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r w:rsidRPr="00536C8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Рівненської обласної ради </w:t>
                  </w: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до Верховної Ради України та Кабінету Міністрів України щодо забезпечення гідної оплати праці педагогічним та науково-педагогічним працівникам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розробнику доопрацювати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з урахуванням пропозицій депутатських фракцій обласної ради.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6585">
        <w:rPr>
          <w:rFonts w:ascii="Times New Roman" w:hAnsi="Times New Roman" w:cs="Times New Roman"/>
          <w:sz w:val="28"/>
          <w:szCs w:val="28"/>
        </w:rPr>
        <w:t xml:space="preserve">Рекомендувати голові обласної ради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дане питання</w:t>
      </w:r>
      <w:r>
        <w:rPr>
          <w:rFonts w:ascii="Times New Roman" w:hAnsi="Times New Roman" w:cs="Times New Roman"/>
          <w:sz w:val="28"/>
          <w:szCs w:val="28"/>
        </w:rPr>
        <w:t xml:space="preserve"> на розгляд сесії обласної ради з урахуванням п.2 цих рекомендацій.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Департаменту освіти та науки облдержадміністрації надати обласній раді до 17.12.2024 інформацію: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B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щодо виконання в закладах освіти області статті 57 Закону України «Про освіту»;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B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щодо оплати медичних оглядів педагогічних працівників;</w:t>
      </w:r>
    </w:p>
    <w:p w:rsidR="004019E1" w:rsidRPr="00645C01" w:rsidRDefault="004019E1" w:rsidP="004019E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D1D1D"/>
          <w:sz w:val="54"/>
          <w:szCs w:val="54"/>
        </w:rPr>
      </w:pPr>
      <w:r>
        <w:rPr>
          <w:sz w:val="28"/>
          <w:szCs w:val="28"/>
        </w:rPr>
        <w:t xml:space="preserve">- </w:t>
      </w:r>
      <w:r w:rsidRPr="00645C01">
        <w:rPr>
          <w:b w:val="0"/>
          <w:sz w:val="28"/>
          <w:szCs w:val="28"/>
        </w:rPr>
        <w:t>щодо оптимізації чисельності закладів освіти Рівненської області  у зв’язку зі змінами до формули розподілу освітньої субвенції.</w:t>
      </w:r>
      <w:r>
        <w:rPr>
          <w:rFonts w:ascii="Arial" w:hAnsi="Arial" w:cs="Arial"/>
          <w:color w:val="1D1D1D"/>
          <w:sz w:val="54"/>
          <w:szCs w:val="54"/>
        </w:rPr>
        <w:t xml:space="preserve"> 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</w:t>
      </w:r>
      <w:r>
        <w:rPr>
          <w:sz w:val="28"/>
          <w:szCs w:val="28"/>
          <w:lang w:val="uk-UA"/>
        </w:rPr>
        <w:t xml:space="preserve">          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Рівненської обласної ради до Верховної Ради України та Кабінету Міністрів України щодо заборони до показу на всіх </w:t>
                  </w:r>
                  <w:proofErr w:type="spellStart"/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відеохостингах</w:t>
                  </w:r>
                  <w:proofErr w:type="spellEnd"/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, які доступні на території України, російських інформаційних продуктів, зокрема мультфільму «Маша та Ведмідь»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4019E1" w:rsidRPr="00F16585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</w:t>
      </w:r>
      <w:r>
        <w:rPr>
          <w:sz w:val="28"/>
          <w:szCs w:val="28"/>
          <w:lang w:val="uk-UA"/>
        </w:rPr>
        <w:t xml:space="preserve">                         №7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наукового ліцею в </w:t>
                  </w:r>
                  <w:proofErr w:type="spellStart"/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BC351D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1D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51D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536C8C" w:rsidRDefault="004019E1" w:rsidP="004019E1">
      <w:pPr>
        <w:pStyle w:val="a7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</w:rPr>
        <w:t>2. </w:t>
      </w:r>
      <w:r w:rsidRPr="00536C8C">
        <w:rPr>
          <w:sz w:val="28"/>
          <w:szCs w:val="28"/>
          <w:lang w:val="uk-UA"/>
        </w:rPr>
        <w:t xml:space="preserve">Погодити внесення змін до штатного розпису Обласного наукового ліцею в </w:t>
      </w:r>
      <w:proofErr w:type="spellStart"/>
      <w:r w:rsidRPr="00536C8C">
        <w:rPr>
          <w:sz w:val="28"/>
          <w:szCs w:val="28"/>
          <w:lang w:val="uk-UA"/>
        </w:rPr>
        <w:t>м.Рівне</w:t>
      </w:r>
      <w:proofErr w:type="spellEnd"/>
      <w:r w:rsidRPr="00536C8C">
        <w:rPr>
          <w:sz w:val="28"/>
          <w:szCs w:val="28"/>
          <w:lang w:val="uk-UA"/>
        </w:rPr>
        <w:t xml:space="preserve"> Рівненської обласної ради (лист від 28.11.2024 №434).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</w:p>
    <w:p w:rsidR="004019E1" w:rsidRPr="009E7F59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молодіжний пластовий </w:t>
                  </w:r>
                  <w:proofErr w:type="spellStart"/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вишкільний</w:t>
                  </w:r>
                  <w:proofErr w:type="spellEnd"/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sz w:val="28"/>
          <w:szCs w:val="28"/>
          <w:lang w:val="uk-UA" w:eastAsia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 xml:space="preserve">Рівненський обласний молодіжний пластовий </w:t>
      </w:r>
      <w:proofErr w:type="spellStart"/>
      <w:r w:rsidRPr="00193B54">
        <w:rPr>
          <w:sz w:val="28"/>
          <w:szCs w:val="28"/>
          <w:lang w:val="uk-UA"/>
        </w:rPr>
        <w:t>вишкільний</w:t>
      </w:r>
      <w:proofErr w:type="spellEnd"/>
      <w:r w:rsidRPr="00193B54">
        <w:rPr>
          <w:sz w:val="28"/>
          <w:szCs w:val="28"/>
          <w:lang w:val="uk-UA"/>
        </w:rPr>
        <w:t xml:space="preserve"> центр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29</w:t>
      </w:r>
      <w:r w:rsidRPr="00193B54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96</w:t>
      </w:r>
      <w:r w:rsidRPr="00193B54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D96843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03A79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«Обласний центр фізичного здоров’я населення «Спорт для всіх»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2025</w:t>
                  </w:r>
                  <w:r w:rsidRPr="00503A79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>2. 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Обласний центр фізичного здоров’я населення «Спорт для всіх</w:t>
      </w:r>
      <w:r w:rsidRPr="006C3EAA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29</w:t>
      </w:r>
      <w:r w:rsidRPr="006C3EAA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53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FC7599" w:rsidRDefault="004019E1" w:rsidP="004019E1">
      <w:pPr>
        <w:pStyle w:val="a5"/>
        <w:rPr>
          <w:rFonts w:ascii="Bookman Old Style" w:hAnsi="Bookman Old Style"/>
          <w:sz w:val="28"/>
          <w:szCs w:val="28"/>
        </w:rPr>
      </w:pPr>
    </w:p>
    <w:p w:rsidR="004019E1" w:rsidRPr="00FC7599" w:rsidRDefault="004019E1" w:rsidP="004019E1">
      <w:pPr>
        <w:pStyle w:val="a5"/>
        <w:rPr>
          <w:rFonts w:ascii="Bookman Old Style" w:hAnsi="Bookman Old Style"/>
          <w:sz w:val="28"/>
          <w:szCs w:val="28"/>
        </w:rPr>
      </w:pPr>
    </w:p>
    <w:p w:rsidR="004019E1" w:rsidRDefault="004019E1" w:rsidP="004019E1"/>
    <w:p w:rsidR="004019E1" w:rsidRDefault="004019E1" w:rsidP="004019E1"/>
    <w:p w:rsidR="004019E1" w:rsidRDefault="004019E1" w:rsidP="004019E1"/>
    <w:p w:rsidR="004019E1" w:rsidRDefault="004019E1" w:rsidP="004019E1"/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1B567E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«Обласна школа вищої спортивної майстерності»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862E8F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Обласна школа вищої спортивної майстерності</w:t>
      </w:r>
      <w:r w:rsidRPr="006C3EAA">
        <w:rPr>
          <w:sz w:val="28"/>
          <w:szCs w:val="28"/>
          <w:lang w:val="uk-UA" w:eastAsia="uk-UA"/>
        </w:rPr>
        <w:t>» Рівне</w:t>
      </w:r>
      <w:r>
        <w:rPr>
          <w:sz w:val="28"/>
          <w:szCs w:val="28"/>
          <w:lang w:val="uk-UA" w:eastAsia="uk-UA"/>
        </w:rPr>
        <w:t>нської обласної ради (лист від 31.10</w:t>
      </w:r>
      <w:r w:rsidRPr="006C3EAA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75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1B567E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дитячо-юнацька спортивна школа осіб з інвалідністю»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5237BE">
        <w:rPr>
          <w:sz w:val="28"/>
          <w:szCs w:val="28"/>
          <w:lang w:val="uk-UA"/>
        </w:rPr>
        <w:t>2</w:t>
      </w:r>
      <w:r w:rsidRPr="006C3EAA">
        <w:rPr>
          <w:i/>
          <w:sz w:val="28"/>
          <w:szCs w:val="28"/>
          <w:lang w:val="uk-UA"/>
        </w:rPr>
        <w:t xml:space="preserve">. </w:t>
      </w:r>
      <w:r w:rsidRPr="006C3EAA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Рівненська обласна дитячо-юнацька спортивна школа осіб з інвалідністю</w:t>
      </w:r>
      <w:r w:rsidRPr="006C3EAA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31</w:t>
      </w:r>
      <w:r w:rsidRPr="006C3EAA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21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6C98" w:rsidRDefault="004019E1" w:rsidP="004019E1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BD46F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BD46FF" w:rsidTr="00AA4332">
              <w:tc>
                <w:tcPr>
                  <w:tcW w:w="5529" w:type="dxa"/>
                </w:tcPr>
                <w:p w:rsidR="004019E1" w:rsidRPr="00BD46FF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BD46FF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академічний український музично-драматичний театр»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 xml:space="preserve">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BD46FF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BD46FF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BD46FF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Pr="00BD46FF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BD46FF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D46FF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BD46FF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BD46FF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 </w:t>
      </w:r>
      <w:r w:rsidRPr="00BD46FF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23F4D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Рівненський обласний академічний український музично-драматичний театр</w:t>
      </w:r>
      <w:r w:rsidRPr="006C3EAA">
        <w:rPr>
          <w:sz w:val="28"/>
          <w:szCs w:val="28"/>
          <w:lang w:val="uk-UA" w:eastAsia="uk-UA"/>
        </w:rPr>
        <w:t>» Рівненської обласної</w:t>
      </w:r>
      <w:r>
        <w:rPr>
          <w:sz w:val="28"/>
          <w:szCs w:val="28"/>
          <w:lang w:val="uk-UA" w:eastAsia="uk-UA"/>
        </w:rPr>
        <w:t xml:space="preserve"> ради (лист від 06</w:t>
      </w:r>
      <w:r w:rsidRPr="006C3EAA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1</w:t>
      </w:r>
      <w:r w:rsidRPr="006C3EAA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№2</w:t>
      </w:r>
      <w:r>
        <w:rPr>
          <w:sz w:val="28"/>
          <w:szCs w:val="28"/>
          <w:lang w:val="uk-UA" w:eastAsia="uk-UA"/>
        </w:rPr>
        <w:t>16</w:t>
      </w:r>
      <w:r w:rsidRPr="006C3EAA">
        <w:rPr>
          <w:sz w:val="28"/>
          <w:szCs w:val="28"/>
          <w:lang w:val="uk-UA" w:eastAsia="uk-UA"/>
        </w:rPr>
        <w:t>/01-05).</w:t>
      </w:r>
    </w:p>
    <w:p w:rsidR="004019E1" w:rsidRPr="00BD46FF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BD46FF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BD46FF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BD46F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720C87" w:rsidRDefault="00720C87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6C98" w:rsidRDefault="004019E1" w:rsidP="004019E1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універсальна наукова бібліотека»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9A7B81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 w:rsidRPr="009A7B81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  </w:t>
      </w:r>
      <w:r w:rsidRPr="009A7B81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універсальна наукова бібліотека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30</w:t>
      </w:r>
      <w:r w:rsidRPr="00193B54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376/01-40/24</w:t>
      </w:r>
      <w:r w:rsidRPr="00193B54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D96843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універсальна наукова бібліотека»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</w:t>
                  </w:r>
                </w:p>
                <w:p w:rsidR="004019E1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9A7B81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 w:rsidRPr="009A7B81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 </w:t>
      </w:r>
      <w:r w:rsidRPr="009A7B81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 xml:space="preserve">Погодити </w:t>
      </w:r>
      <w:r w:rsidRPr="00D96843">
        <w:rPr>
          <w:sz w:val="28"/>
          <w:szCs w:val="28"/>
          <w:lang w:val="uk-UA"/>
        </w:rPr>
        <w:t>внесення змін до структури</w:t>
      </w:r>
      <w:r w:rsidRPr="00193B54">
        <w:rPr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універсальна наукова бібліотека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01</w:t>
      </w:r>
      <w:r w:rsidRPr="00193B54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1</w:t>
      </w:r>
      <w:r w:rsidRPr="00193B54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379/01-40/24</w:t>
      </w:r>
      <w:r w:rsidRPr="00193B54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E5974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D96843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E5974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E5974" w:rsidTr="00AA4332">
              <w:tc>
                <w:tcPr>
                  <w:tcW w:w="5529" w:type="dxa"/>
                </w:tcPr>
                <w:p w:rsidR="004019E1" w:rsidRPr="005E5974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5E5974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E5974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бібліотека для молоді»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5E5974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         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5E5974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E5974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E5974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E5974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Pr="005E5974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E5974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E5974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E5974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E5974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E5974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Рівненська обласна бібліотека для молоді</w:t>
      </w:r>
      <w:r w:rsidRPr="006C3EAA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31</w:t>
      </w:r>
      <w:r w:rsidRPr="006C3EAA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№2</w:t>
      </w:r>
      <w:r>
        <w:rPr>
          <w:sz w:val="28"/>
          <w:szCs w:val="28"/>
          <w:lang w:val="uk-UA" w:eastAsia="uk-UA"/>
        </w:rPr>
        <w:t>34</w:t>
      </w:r>
      <w:r w:rsidRPr="006C3EAA">
        <w:rPr>
          <w:sz w:val="28"/>
          <w:szCs w:val="28"/>
          <w:lang w:val="uk-UA" w:eastAsia="uk-UA"/>
        </w:rPr>
        <w:t>/01-18/2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5078DC" w:rsidRPr="005E5974" w:rsidRDefault="005078DC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Pr="005E597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E597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5078DC" w:rsidRDefault="005078DC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6C98" w:rsidRDefault="004019E1" w:rsidP="004019E1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бібліотека для дітей»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</w:t>
      </w:r>
      <w:r w:rsidRPr="00193B54">
        <w:rPr>
          <w:i/>
          <w:sz w:val="28"/>
          <w:szCs w:val="28"/>
          <w:lang w:val="uk-UA"/>
        </w:rPr>
        <w:t xml:space="preserve">.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бібліотека для дітей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22</w:t>
      </w:r>
      <w:r w:rsidRPr="00193B54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 №29</w:t>
      </w:r>
      <w:r w:rsidRPr="00193B54">
        <w:rPr>
          <w:sz w:val="28"/>
          <w:szCs w:val="28"/>
          <w:lang w:val="uk-UA" w:eastAsia="uk-UA"/>
        </w:rPr>
        <w:t>0).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9E7F5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3E160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філармонія»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Default="004019E1" w:rsidP="004019E1">
      <w:pPr>
        <w:pStyle w:val="a7"/>
        <w:ind w:left="0"/>
        <w:jc w:val="both"/>
        <w:rPr>
          <w:sz w:val="28"/>
          <w:szCs w:val="28"/>
          <w:lang w:val="uk-UA" w:eastAsia="uk-UA"/>
        </w:rPr>
      </w:pPr>
      <w:r w:rsidRPr="0050162B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філармонія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31.10.202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№3</w:t>
      </w:r>
      <w:r>
        <w:rPr>
          <w:sz w:val="28"/>
          <w:szCs w:val="28"/>
          <w:lang w:val="uk-UA" w:eastAsia="uk-UA"/>
        </w:rPr>
        <w:t>40</w:t>
      </w:r>
      <w:r w:rsidRPr="00193B54">
        <w:rPr>
          <w:sz w:val="28"/>
          <w:szCs w:val="28"/>
          <w:lang w:val="uk-UA" w:eastAsia="uk-UA"/>
        </w:rPr>
        <w:t>/01-05/2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>).</w:t>
      </w:r>
    </w:p>
    <w:p w:rsidR="00C46A28" w:rsidRPr="007916E2" w:rsidRDefault="00C46A28" w:rsidP="00C46A28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3. Рекомендувати обласній державній адміністрації розглянути можливість придбання автобуса та сприяння у бронюванні працівників </w:t>
      </w:r>
      <w:r w:rsidRPr="007916E2">
        <w:rPr>
          <w:sz w:val="28"/>
          <w:szCs w:val="28"/>
          <w:lang w:val="uk-UA" w:eastAsia="uk-UA"/>
        </w:rPr>
        <w:t>КЗ «</w:t>
      </w:r>
      <w:r w:rsidRPr="007916E2">
        <w:rPr>
          <w:sz w:val="28"/>
          <w:szCs w:val="28"/>
          <w:lang w:val="uk-UA"/>
        </w:rPr>
        <w:t>Рівненська обласна філармонія</w:t>
      </w:r>
      <w:r w:rsidRPr="007916E2">
        <w:rPr>
          <w:sz w:val="28"/>
          <w:szCs w:val="28"/>
          <w:lang w:val="uk-UA" w:eastAsia="uk-UA"/>
        </w:rPr>
        <w:t>» Рівненської обласної ради</w:t>
      </w:r>
      <w:r>
        <w:rPr>
          <w:sz w:val="28"/>
          <w:szCs w:val="28"/>
          <w:lang w:val="uk-UA" w:eastAsia="uk-UA"/>
        </w:rPr>
        <w:t>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22883" w:rsidRDefault="004019E1" w:rsidP="004019E1">
      <w:pPr>
        <w:pStyle w:val="a7"/>
        <w:ind w:left="86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</w:t>
      </w:r>
      <w:r>
        <w:rPr>
          <w:sz w:val="28"/>
          <w:szCs w:val="28"/>
        </w:rPr>
        <w:t xml:space="preserve">         </w:t>
      </w:r>
      <w:r w:rsidRPr="00F22883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18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193B54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«Культурно-археологічний центр «</w:t>
                  </w:r>
                  <w:proofErr w:type="spellStart"/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Пересопниця</w:t>
                  </w:r>
                  <w:proofErr w:type="spellEnd"/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>2. 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8C30A9">
        <w:rPr>
          <w:sz w:val="28"/>
          <w:szCs w:val="28"/>
          <w:lang w:val="uk-UA"/>
        </w:rPr>
        <w:t>Культурно-археологічний центр «</w:t>
      </w:r>
      <w:proofErr w:type="spellStart"/>
      <w:r w:rsidRPr="008C30A9">
        <w:rPr>
          <w:sz w:val="28"/>
          <w:szCs w:val="28"/>
          <w:lang w:val="uk-UA"/>
        </w:rPr>
        <w:t>Пересопниця</w:t>
      </w:r>
      <w:proofErr w:type="spellEnd"/>
      <w:r w:rsidRPr="006C3EAA">
        <w:rPr>
          <w:sz w:val="28"/>
          <w:szCs w:val="28"/>
          <w:lang w:val="uk-UA" w:eastAsia="uk-UA"/>
        </w:rPr>
        <w:t>» Рівненської обласної ради (лист від 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72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881F34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3E160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AF21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4019E1" w:rsidRPr="00AF2169" w:rsidRDefault="004019E1" w:rsidP="00AA4332">
            <w:pPr>
              <w:rPr>
                <w:lang w:val="uk-UA"/>
              </w:rPr>
            </w:pPr>
          </w:p>
          <w:p w:rsidR="004019E1" w:rsidRPr="00AF2169" w:rsidRDefault="004019E1" w:rsidP="00AA4332">
            <w:pPr>
              <w:rPr>
                <w:lang w:val="uk-UA"/>
              </w:rPr>
            </w:pPr>
          </w:p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AF2169" w:rsidTr="00AA4332">
              <w:tc>
                <w:tcPr>
                  <w:tcW w:w="5529" w:type="dxa"/>
                </w:tcPr>
                <w:p w:rsidR="004019E1" w:rsidRPr="00AF216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F21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академічний обласний театр ляльок»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AF2169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AF2169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AF216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AF216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AF216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Pr="00AF216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AF216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AF216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AF216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AF216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AF216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Default="004019E1" w:rsidP="004019E1">
      <w:pPr>
        <w:pStyle w:val="a7"/>
        <w:tabs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  <w:r w:rsidRPr="00193B54">
        <w:rPr>
          <w:sz w:val="28"/>
          <w:szCs w:val="28"/>
          <w:lang w:val="uk-UA"/>
        </w:rPr>
        <w:t>2.</w:t>
      </w:r>
      <w:r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Рівненський академічний обласний театр ляльок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25.10.202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№3</w:t>
      </w:r>
      <w:r>
        <w:rPr>
          <w:sz w:val="28"/>
          <w:szCs w:val="28"/>
          <w:lang w:val="uk-UA" w:eastAsia="uk-UA"/>
        </w:rPr>
        <w:t>2</w:t>
      </w:r>
      <w:r w:rsidRPr="00193B54">
        <w:rPr>
          <w:sz w:val="28"/>
          <w:szCs w:val="28"/>
          <w:lang w:val="uk-UA" w:eastAsia="uk-UA"/>
        </w:rPr>
        <w:t>/01-22/2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>).</w:t>
      </w:r>
    </w:p>
    <w:p w:rsidR="001A0C39" w:rsidRPr="00B36346" w:rsidRDefault="001A0C39" w:rsidP="001A0C39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5D3524">
        <w:rPr>
          <w:sz w:val="28"/>
          <w:szCs w:val="28"/>
          <w:lang w:val="uk-UA" w:eastAsia="uk-UA"/>
        </w:rPr>
        <w:t xml:space="preserve">3. Рекомендувати обласній державній адміністрації розглянути можливість врахування у </w:t>
      </w:r>
      <w:hyperlink r:id="rId6" w:history="1">
        <w:r w:rsidRPr="005D3524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 xml:space="preserve"> Комплексн</w:t>
        </w:r>
        <w:r w:rsidRPr="00AA661C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>ій</w:t>
        </w:r>
        <w:r w:rsidRPr="005D3524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 xml:space="preserve"> програм</w:t>
        </w:r>
        <w:r w:rsidRPr="00AA661C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>і</w:t>
        </w:r>
        <w:r w:rsidRPr="005D3524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 xml:space="preserve"> енергоефективності Рівненської області на період 2018-2025 рок</w:t>
        </w:r>
        <w:r w:rsidRPr="00AA661C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>и</w:t>
        </w:r>
      </w:hyperlink>
      <w:r>
        <w:rPr>
          <w:sz w:val="28"/>
          <w:szCs w:val="28"/>
          <w:lang w:val="uk-UA"/>
        </w:rPr>
        <w:t xml:space="preserve"> придбання </w:t>
      </w:r>
      <w:r>
        <w:rPr>
          <w:sz w:val="28"/>
          <w:szCs w:val="28"/>
          <w:lang w:val="uk-UA" w:eastAsia="uk-UA"/>
        </w:rPr>
        <w:t>генератора</w:t>
      </w:r>
      <w:r>
        <w:rPr>
          <w:sz w:val="28"/>
          <w:szCs w:val="28"/>
          <w:lang w:val="uk-UA"/>
        </w:rPr>
        <w:t xml:space="preserve"> для КЗ </w:t>
      </w:r>
      <w:r w:rsidRPr="007916E2">
        <w:rPr>
          <w:sz w:val="28"/>
          <w:szCs w:val="28"/>
          <w:lang w:val="uk-UA" w:eastAsia="uk-UA"/>
        </w:rPr>
        <w:t>«</w:t>
      </w:r>
      <w:r w:rsidRPr="007916E2">
        <w:rPr>
          <w:sz w:val="28"/>
          <w:szCs w:val="28"/>
          <w:lang w:val="uk-UA"/>
        </w:rPr>
        <w:t>Рівненський академічний обласний театр ляльок</w:t>
      </w:r>
      <w:r w:rsidRPr="007916E2">
        <w:rPr>
          <w:sz w:val="28"/>
          <w:szCs w:val="28"/>
          <w:lang w:val="uk-UA" w:eastAsia="uk-UA"/>
        </w:rPr>
        <w:t>» Рівненської обласної ради</w:t>
      </w:r>
      <w:r>
        <w:rPr>
          <w:sz w:val="28"/>
          <w:szCs w:val="28"/>
          <w:lang w:val="uk-UA" w:eastAsia="uk-UA"/>
        </w:rPr>
        <w:t>.</w:t>
      </w:r>
    </w:p>
    <w:p w:rsidR="004019E1" w:rsidRPr="00AF216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AF216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AF21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881F34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3E160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AF21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4019E1" w:rsidRPr="00AF2169" w:rsidRDefault="004019E1" w:rsidP="00AA4332">
            <w:pPr>
              <w:rPr>
                <w:lang w:val="uk-UA"/>
              </w:rPr>
            </w:pPr>
          </w:p>
          <w:p w:rsidR="004019E1" w:rsidRPr="00AF2169" w:rsidRDefault="004019E1" w:rsidP="00AA4332">
            <w:pPr>
              <w:rPr>
                <w:lang w:val="uk-UA"/>
              </w:rPr>
            </w:pPr>
          </w:p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AF2169" w:rsidTr="00AA4332">
              <w:tc>
                <w:tcPr>
                  <w:tcW w:w="5529" w:type="dxa"/>
                </w:tcPr>
                <w:p w:rsidR="004019E1" w:rsidRPr="00536C8C" w:rsidRDefault="004019E1" w:rsidP="00AA4332">
                  <w:pPr>
                    <w:pStyle w:val="a7"/>
                    <w:tabs>
                      <w:tab w:val="left" w:pos="284"/>
                      <w:tab w:val="left" w:pos="426"/>
                      <w:tab w:val="left" w:pos="709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 w:eastAsia="uk-UA"/>
                    </w:rPr>
                    <w:t>Про план роботи постійної комісії обласної ради з питань гуманітарної політики на 2025 рік</w:t>
                  </w:r>
                </w:p>
                <w:p w:rsidR="004019E1" w:rsidRPr="00AF216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AF216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AF216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AF216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AF2169">
        <w:rPr>
          <w:b/>
          <w:sz w:val="28"/>
          <w:szCs w:val="28"/>
          <w:u w:val="single"/>
          <w:lang w:val="uk-UA"/>
        </w:rPr>
        <w:t>вирішила: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5E3ACE" w:rsidRDefault="004019E1" w:rsidP="004019E1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16585">
        <w:rPr>
          <w:sz w:val="28"/>
          <w:szCs w:val="28"/>
        </w:rPr>
        <w:t>2. </w:t>
      </w:r>
      <w:r w:rsidRPr="005E3ACE">
        <w:rPr>
          <w:sz w:val="28"/>
          <w:szCs w:val="28"/>
          <w:lang w:val="uk-UA"/>
        </w:rPr>
        <w:t xml:space="preserve">Затвердити </w:t>
      </w:r>
      <w:r w:rsidRPr="005E3ACE">
        <w:rPr>
          <w:sz w:val="28"/>
          <w:szCs w:val="28"/>
          <w:lang w:val="uk-UA" w:eastAsia="uk-UA"/>
        </w:rPr>
        <w:t>план роботи постійної комісії обласної ради з питань гуманітарної політики на 2025 рік.</w:t>
      </w:r>
    </w:p>
    <w:p w:rsidR="004019E1" w:rsidRPr="00AF2169" w:rsidRDefault="004019E1" w:rsidP="004019E1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019E1" w:rsidRPr="00AF216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AF21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7807AF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4C0B" w:rsidRDefault="00F04C0B"/>
    <w:sectPr w:rsidR="00F04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494"/>
    <w:multiLevelType w:val="hybridMultilevel"/>
    <w:tmpl w:val="417CC1A2"/>
    <w:lvl w:ilvl="0" w:tplc="9120E75C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407E08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F2269"/>
    <w:multiLevelType w:val="hybridMultilevel"/>
    <w:tmpl w:val="BCB03160"/>
    <w:lvl w:ilvl="0" w:tplc="9B269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4F52"/>
    <w:multiLevelType w:val="hybridMultilevel"/>
    <w:tmpl w:val="9CA0427C"/>
    <w:lvl w:ilvl="0" w:tplc="73D04FD8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2E5A10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A4F94"/>
    <w:multiLevelType w:val="hybridMultilevel"/>
    <w:tmpl w:val="A38A4C4E"/>
    <w:lvl w:ilvl="0" w:tplc="7BD03AE4">
      <w:start w:val="22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DDD2DAC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5499B"/>
    <w:multiLevelType w:val="hybridMultilevel"/>
    <w:tmpl w:val="02340114"/>
    <w:lvl w:ilvl="0" w:tplc="401AB994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C51C8E"/>
    <w:multiLevelType w:val="hybridMultilevel"/>
    <w:tmpl w:val="9266002C"/>
    <w:lvl w:ilvl="0" w:tplc="4C9A45FE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4EE3BD8"/>
    <w:multiLevelType w:val="hybridMultilevel"/>
    <w:tmpl w:val="76868E22"/>
    <w:lvl w:ilvl="0" w:tplc="30442CD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CD2785"/>
    <w:multiLevelType w:val="hybridMultilevel"/>
    <w:tmpl w:val="596AAACC"/>
    <w:lvl w:ilvl="0" w:tplc="A6B4D300">
      <w:start w:val="2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DF55A8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733BD2"/>
    <w:multiLevelType w:val="hybridMultilevel"/>
    <w:tmpl w:val="BBE25A36"/>
    <w:lvl w:ilvl="0" w:tplc="1CEE393A">
      <w:start w:val="2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EF6A69"/>
    <w:multiLevelType w:val="hybridMultilevel"/>
    <w:tmpl w:val="8E1C6A96"/>
    <w:lvl w:ilvl="0" w:tplc="66EE1E1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93C588B"/>
    <w:multiLevelType w:val="hybridMultilevel"/>
    <w:tmpl w:val="97B227E0"/>
    <w:lvl w:ilvl="0" w:tplc="9DC06F26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0993157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CB70E8"/>
    <w:multiLevelType w:val="hybridMultilevel"/>
    <w:tmpl w:val="D5E093D6"/>
    <w:lvl w:ilvl="0" w:tplc="47EE0032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8CF367F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1A4B14"/>
    <w:multiLevelType w:val="hybridMultilevel"/>
    <w:tmpl w:val="7D6AC53E"/>
    <w:lvl w:ilvl="0" w:tplc="46302534">
      <w:start w:val="2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2412D0D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FB54CE"/>
    <w:multiLevelType w:val="hybridMultilevel"/>
    <w:tmpl w:val="01E05D3C"/>
    <w:lvl w:ilvl="0" w:tplc="7E72800E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4C35EDA"/>
    <w:multiLevelType w:val="multilevel"/>
    <w:tmpl w:val="11B0FE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9F7D08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441AD8"/>
    <w:multiLevelType w:val="hybridMultilevel"/>
    <w:tmpl w:val="0C882056"/>
    <w:lvl w:ilvl="0" w:tplc="C2386B2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98E2A56"/>
    <w:multiLevelType w:val="hybridMultilevel"/>
    <w:tmpl w:val="0CEC063A"/>
    <w:lvl w:ilvl="0" w:tplc="29307EDA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56A3CE7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24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7"/>
  </w:num>
  <w:num w:numId="9">
    <w:abstractNumId w:val="16"/>
  </w:num>
  <w:num w:numId="10">
    <w:abstractNumId w:val="3"/>
  </w:num>
  <w:num w:numId="11">
    <w:abstractNumId w:val="23"/>
  </w:num>
  <w:num w:numId="12">
    <w:abstractNumId w:val="0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17"/>
  </w:num>
  <w:num w:numId="18">
    <w:abstractNumId w:val="21"/>
    <w:lvlOverride w:ilvl="0">
      <w:startOverride w:val="1"/>
    </w:lvlOverride>
  </w:num>
  <w:num w:numId="19">
    <w:abstractNumId w:val="25"/>
  </w:num>
  <w:num w:numId="20">
    <w:abstractNumId w:val="15"/>
  </w:num>
  <w:num w:numId="21">
    <w:abstractNumId w:val="6"/>
  </w:num>
  <w:num w:numId="22">
    <w:abstractNumId w:val="22"/>
  </w:num>
  <w:num w:numId="23">
    <w:abstractNumId w:val="1"/>
  </w:num>
  <w:num w:numId="24">
    <w:abstractNumId w:val="19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E1"/>
    <w:rsid w:val="001A0C39"/>
    <w:rsid w:val="0020753B"/>
    <w:rsid w:val="004019E1"/>
    <w:rsid w:val="005078DC"/>
    <w:rsid w:val="00720C87"/>
    <w:rsid w:val="00AA661C"/>
    <w:rsid w:val="00C46A28"/>
    <w:rsid w:val="00F04C0B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E1"/>
  </w:style>
  <w:style w:type="paragraph" w:styleId="1">
    <w:name w:val="heading 1"/>
    <w:basedOn w:val="a"/>
    <w:link w:val="10"/>
    <w:uiPriority w:val="9"/>
    <w:qFormat/>
    <w:rsid w:val="00401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9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ody Text"/>
    <w:basedOn w:val="a"/>
    <w:link w:val="a4"/>
    <w:uiPriority w:val="99"/>
    <w:rsid w:val="004019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4019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4019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4019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019E1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4019E1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40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4019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4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4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4019E1"/>
  </w:style>
  <w:style w:type="character" w:styleId="a9">
    <w:name w:val="Strong"/>
    <w:basedOn w:val="a0"/>
    <w:uiPriority w:val="22"/>
    <w:qFormat/>
    <w:rsid w:val="004019E1"/>
    <w:rPr>
      <w:b/>
      <w:bCs/>
    </w:rPr>
  </w:style>
  <w:style w:type="character" w:customStyle="1" w:styleId="21">
    <w:name w:val="Основной текст (2)"/>
    <w:uiPriority w:val="99"/>
    <w:rsid w:val="004019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0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019E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A0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E1"/>
  </w:style>
  <w:style w:type="paragraph" w:styleId="1">
    <w:name w:val="heading 1"/>
    <w:basedOn w:val="a"/>
    <w:link w:val="10"/>
    <w:uiPriority w:val="9"/>
    <w:qFormat/>
    <w:rsid w:val="00401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9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ody Text"/>
    <w:basedOn w:val="a"/>
    <w:link w:val="a4"/>
    <w:uiPriority w:val="99"/>
    <w:rsid w:val="004019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4019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4019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4019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019E1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4019E1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40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4019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4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4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4019E1"/>
  </w:style>
  <w:style w:type="character" w:styleId="a9">
    <w:name w:val="Strong"/>
    <w:basedOn w:val="a0"/>
    <w:uiPriority w:val="22"/>
    <w:qFormat/>
    <w:rsid w:val="004019E1"/>
    <w:rPr>
      <w:b/>
      <w:bCs/>
    </w:rPr>
  </w:style>
  <w:style w:type="character" w:customStyle="1" w:styleId="21">
    <w:name w:val="Основной текст (2)"/>
    <w:uiPriority w:val="99"/>
    <w:rsid w:val="004019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0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019E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A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r.gov.ua/rishennya-oblasnoyi-radi-7-sklikannya/866-pro-kompleksnu-programu-energoefektivnosti-rivnenskoyi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13663</Words>
  <Characters>7788</Characters>
  <Application>Microsoft Office Word</Application>
  <DocSecurity>0</DocSecurity>
  <Lines>64</Lines>
  <Paragraphs>42</Paragraphs>
  <ScaleCrop>false</ScaleCrop>
  <Company/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8</cp:revision>
  <dcterms:created xsi:type="dcterms:W3CDTF">2024-12-10T10:10:00Z</dcterms:created>
  <dcterms:modified xsi:type="dcterms:W3CDTF">2024-12-13T11:07:00Z</dcterms:modified>
</cp:coreProperties>
</file>