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C" w:rsidRPr="003A4BD1" w:rsidRDefault="001D114C" w:rsidP="003A4BD1">
      <w:pPr>
        <w:pStyle w:val="4"/>
        <w:autoSpaceDE w:val="0"/>
        <w:autoSpaceDN w:val="0"/>
        <w:spacing w:line="480" w:lineRule="auto"/>
        <w:ind w:left="4820"/>
        <w:rPr>
          <w:caps/>
          <w:sz w:val="28"/>
          <w:szCs w:val="28"/>
        </w:rPr>
      </w:pPr>
      <w:bookmarkStart w:id="0" w:name="bookmark0"/>
      <w:r w:rsidRPr="003A4BD1">
        <w:rPr>
          <w:caps/>
          <w:sz w:val="28"/>
          <w:szCs w:val="28"/>
        </w:rPr>
        <w:t>Затверджено</w:t>
      </w:r>
    </w:p>
    <w:p w:rsidR="001D114C" w:rsidRPr="003A4BD1" w:rsidRDefault="00227FCB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>Рішення</w:t>
      </w:r>
      <w:r w:rsidR="001D114C"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Рівненської обласної ради</w:t>
      </w:r>
    </w:p>
    <w:p w:rsidR="00227FCB" w:rsidRPr="003A4BD1" w:rsidRDefault="00227FCB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414AD5">
        <w:rPr>
          <w:rFonts w:ascii="Times New Roman" w:hAnsi="Times New Roman" w:cs="Times New Roman"/>
          <w:b/>
          <w:color w:val="auto"/>
          <w:sz w:val="28"/>
          <w:szCs w:val="28"/>
        </w:rPr>
        <w:t>17 березня</w:t>
      </w: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114C" w:rsidRPr="003A4BD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414AD5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bookmarkStart w:id="1" w:name="_GoBack"/>
      <w:bookmarkEnd w:id="1"/>
      <w:r w:rsidR="001D114C"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>року</w:t>
      </w:r>
    </w:p>
    <w:p w:rsidR="001D114C" w:rsidRPr="003A4BD1" w:rsidRDefault="001D114C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414AD5">
        <w:rPr>
          <w:rFonts w:ascii="Times New Roman" w:hAnsi="Times New Roman" w:cs="Times New Roman"/>
          <w:b/>
          <w:color w:val="auto"/>
          <w:sz w:val="28"/>
          <w:szCs w:val="28"/>
        </w:rPr>
        <w:t>643</w:t>
      </w:r>
    </w:p>
    <w:p w:rsidR="00227FCB" w:rsidRDefault="00227FCB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4BD1">
        <w:rPr>
          <w:rFonts w:ascii="Times New Roman" w:hAnsi="Times New Roman" w:cs="Times New Roman"/>
          <w:b/>
          <w:color w:val="auto"/>
          <w:sz w:val="28"/>
          <w:szCs w:val="28"/>
        </w:rPr>
        <w:t>Голова Рівненської обласної ради</w:t>
      </w:r>
    </w:p>
    <w:p w:rsidR="003A4BD1" w:rsidRPr="003A4BD1" w:rsidRDefault="003A4BD1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7FCB" w:rsidRPr="003A4BD1" w:rsidRDefault="003A4BD1" w:rsidP="003A4BD1">
      <w:pPr>
        <w:spacing w:line="480" w:lineRule="auto"/>
        <w:ind w:left="48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</w:t>
      </w:r>
      <w:r w:rsidR="00227FCB" w:rsidRPr="003A4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Андрій КАРАУШ</w:t>
      </w: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ind w:left="6521" w:hanging="99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3"/>
        <w:spacing w:before="0"/>
        <w:jc w:val="center"/>
        <w:rPr>
          <w:rFonts w:ascii="Times New Roman" w:hAnsi="Times New Roman"/>
          <w:color w:val="auto"/>
          <w:sz w:val="42"/>
          <w:szCs w:val="42"/>
        </w:rPr>
      </w:pPr>
      <w:r w:rsidRPr="00D7098C">
        <w:rPr>
          <w:rFonts w:ascii="Times New Roman" w:hAnsi="Times New Roman"/>
          <w:color w:val="auto"/>
          <w:sz w:val="42"/>
          <w:szCs w:val="42"/>
        </w:rPr>
        <w:t>СТАТУТ</w:t>
      </w:r>
    </w:p>
    <w:p w:rsidR="001D114C" w:rsidRPr="00D7098C" w:rsidRDefault="001D114C" w:rsidP="001D114C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 w:rsidRPr="00D7098C">
        <w:rPr>
          <w:rFonts w:ascii="Times New Roman" w:hAnsi="Times New Roman" w:cs="Times New Roman"/>
          <w:b/>
          <w:caps/>
          <w:color w:val="auto"/>
          <w:sz w:val="38"/>
          <w:szCs w:val="38"/>
        </w:rPr>
        <w:t>Комунального закладу</w:t>
      </w:r>
    </w:p>
    <w:p w:rsidR="001D114C" w:rsidRPr="00D7098C" w:rsidRDefault="001D114C" w:rsidP="001D114C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caps/>
          <w:color w:val="auto"/>
          <w:sz w:val="38"/>
          <w:szCs w:val="38"/>
        </w:rPr>
        <w:t xml:space="preserve">рІВНЕНСЬКОЇ </w:t>
      </w:r>
      <w:r w:rsidRPr="00D7098C">
        <w:rPr>
          <w:rFonts w:ascii="Times New Roman" w:hAnsi="Times New Roman" w:cs="Times New Roman"/>
          <w:b/>
          <w:caps/>
          <w:color w:val="auto"/>
          <w:sz w:val="38"/>
          <w:szCs w:val="38"/>
        </w:rPr>
        <w:t>обласної ради</w:t>
      </w:r>
    </w:p>
    <w:p w:rsidR="001D114C" w:rsidRPr="00D7098C" w:rsidRDefault="0016737A" w:rsidP="001D114C">
      <w:pPr>
        <w:jc w:val="center"/>
        <w:rPr>
          <w:rFonts w:ascii="Times New Roman" w:hAnsi="Times New Roman" w:cs="Times New Roman"/>
          <w:b/>
          <w:cap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color w:val="auto"/>
          <w:sz w:val="38"/>
          <w:szCs w:val="38"/>
        </w:rPr>
        <w:t>"</w:t>
      </w:r>
      <w:r w:rsidR="001D114C">
        <w:rPr>
          <w:rFonts w:ascii="Times New Roman" w:hAnsi="Times New Roman" w:cs="Times New Roman"/>
          <w:b/>
          <w:color w:val="auto"/>
          <w:sz w:val="38"/>
          <w:szCs w:val="38"/>
        </w:rPr>
        <w:t>ВЕТЕРАНЬКИЙ ПРОСТІР</w:t>
      </w:r>
      <w:r>
        <w:rPr>
          <w:rFonts w:ascii="Times New Roman" w:hAnsi="Times New Roman" w:cs="Times New Roman"/>
          <w:b/>
          <w:color w:val="auto"/>
          <w:sz w:val="38"/>
          <w:szCs w:val="38"/>
        </w:rPr>
        <w:t>"</w:t>
      </w:r>
    </w:p>
    <w:p w:rsidR="001D114C" w:rsidRPr="00D7098C" w:rsidRDefault="001D114C" w:rsidP="001D114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114C" w:rsidRPr="003A4BD1" w:rsidRDefault="003A4BD1" w:rsidP="001D114C">
      <w:pPr>
        <w:pStyle w:val="31"/>
        <w:rPr>
          <w:b w:val="0"/>
          <w:sz w:val="28"/>
          <w:szCs w:val="28"/>
        </w:rPr>
      </w:pPr>
      <w:r w:rsidRPr="003A4BD1">
        <w:rPr>
          <w:b w:val="0"/>
          <w:caps w:val="0"/>
          <w:sz w:val="28"/>
          <w:szCs w:val="28"/>
        </w:rPr>
        <w:t>(</w:t>
      </w:r>
      <w:r w:rsidRPr="003A4BD1">
        <w:rPr>
          <w:b w:val="0"/>
          <w:i/>
          <w:caps w:val="0"/>
          <w:sz w:val="28"/>
          <w:szCs w:val="28"/>
        </w:rPr>
        <w:t>нова редакція</w:t>
      </w:r>
      <w:r w:rsidRPr="003A4BD1">
        <w:rPr>
          <w:b w:val="0"/>
          <w:caps w:val="0"/>
          <w:sz w:val="28"/>
          <w:szCs w:val="28"/>
        </w:rPr>
        <w:t>)</w:t>
      </w:r>
    </w:p>
    <w:p w:rsidR="001D114C" w:rsidRPr="003A4BD1" w:rsidRDefault="001D114C" w:rsidP="001D114C">
      <w:pPr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Pr="00D7098C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14C" w:rsidRDefault="003A4BD1" w:rsidP="001D114C">
      <w:pPr>
        <w:pStyle w:val="a6"/>
        <w:ind w:left="0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місто </w:t>
      </w:r>
      <w:r w:rsidR="001D114C" w:rsidRPr="003A4BD1">
        <w:rPr>
          <w:rFonts w:ascii="Times New Roman" w:hAnsi="Times New Roman" w:cs="Times New Roman"/>
          <w:color w:val="auto"/>
          <w:sz w:val="28"/>
          <w:szCs w:val="28"/>
        </w:rPr>
        <w:t xml:space="preserve">Рівне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D114C" w:rsidRPr="003A4BD1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1D114C" w:rsidRPr="00D7098C">
        <w:rPr>
          <w:rFonts w:ascii="Times New Roman" w:hAnsi="Times New Roman" w:cs="Times New Roman"/>
          <w:b/>
          <w:i/>
          <w:color w:val="auto"/>
          <w:sz w:val="27"/>
          <w:szCs w:val="27"/>
        </w:rPr>
        <w:br w:type="page"/>
      </w:r>
    </w:p>
    <w:p w:rsidR="001D114C" w:rsidRPr="00672B11" w:rsidRDefault="001D114C" w:rsidP="001D114C">
      <w:pPr>
        <w:pStyle w:val="a6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2B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ЗАГАЛЬНІ ПОЛОЖЕННЯ</w:t>
      </w:r>
      <w:bookmarkEnd w:id="0"/>
    </w:p>
    <w:p w:rsidR="001D114C" w:rsidRDefault="001D114C" w:rsidP="001D114C">
      <w:pPr>
        <w:pStyle w:val="a7"/>
        <w:tabs>
          <w:tab w:val="left" w:pos="180"/>
        </w:tabs>
        <w:ind w:left="0" w:right="-6" w:firstLine="851"/>
        <w:rPr>
          <w:szCs w:val="28"/>
        </w:rPr>
      </w:pPr>
      <w:r w:rsidRPr="00D7098C">
        <w:rPr>
          <w:szCs w:val="28"/>
        </w:rPr>
        <w:t>1.1</w:t>
      </w:r>
      <w:r>
        <w:rPr>
          <w:szCs w:val="28"/>
        </w:rPr>
        <w:t xml:space="preserve"> Цей Статут визначає правові та економічні основи організації та діяльності КОМУНАЛЬНОГО ЗАКЛАДУ «ВЕТЕРАНСЬКИЙ ПРОСТІР» РІВНЕНЕСЬКОЇ ОБЛАСНОЇ РАДИ (далі </w:t>
      </w:r>
      <w:r w:rsidR="003A4BD1">
        <w:rPr>
          <w:szCs w:val="28"/>
        </w:rPr>
        <w:t>–</w:t>
      </w:r>
      <w:r>
        <w:rPr>
          <w:szCs w:val="28"/>
        </w:rPr>
        <w:t xml:space="preserve"> Заклад).</w:t>
      </w:r>
    </w:p>
    <w:p w:rsidR="001D114C" w:rsidRPr="00D7098C" w:rsidRDefault="001D114C" w:rsidP="001D114C">
      <w:pPr>
        <w:pStyle w:val="a7"/>
        <w:tabs>
          <w:tab w:val="left" w:pos="180"/>
        </w:tabs>
        <w:ind w:left="0" w:right="-6" w:firstLine="851"/>
        <w:rPr>
          <w:szCs w:val="28"/>
        </w:rPr>
      </w:pPr>
      <w:r>
        <w:rPr>
          <w:szCs w:val="28"/>
        </w:rPr>
        <w:t>Заклад є об’єктом права спільної власності територіальних громад сіл, селищ, міст Рівненської області.</w:t>
      </w:r>
    </w:p>
    <w:p w:rsidR="001D114C" w:rsidRPr="00F80938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Власником Закладу є територіальні громади сіл, селищ, міст Рівненської області в особі Рівненської обласної ради (далі </w:t>
      </w:r>
      <w:r w:rsidR="003A4B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Власник).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керується у</w:t>
      </w:r>
      <w:r w:rsidRPr="00D7098C">
        <w:rPr>
          <w:sz w:val="28"/>
          <w:szCs w:val="28"/>
          <w:lang w:val="uk-UA"/>
        </w:rPr>
        <w:t xml:space="preserve"> своїй діяльності </w:t>
      </w:r>
      <w:r>
        <w:rPr>
          <w:sz w:val="28"/>
          <w:szCs w:val="28"/>
          <w:lang w:val="uk-UA"/>
        </w:rPr>
        <w:t>чинним законодавством України, актами Президента України, постановами Кабінету Міністрів України, наказами Міністерства соціальної політики України, Міністерства  у справах ветеранів, тимчасово окупованих територій та внутрішньо переміщених осіб України,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є юридичною особою, має самостійний баланс, розрахунковий та інші рахунки в установах казначейства, печатку зі своєю назвою а також бланки організаційно-розпорядної документації і штампи,</w:t>
      </w:r>
      <w:r w:rsidR="003A4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необхідні для організації своєї роботи, кутовий штамп, інші необхідні реквізити. Заклад набуває права юридичної особи з моменту її державної реєстрації в установленому законом порядку.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забезпеченням збереження та ефективністю використання майна Закладу здійснює Власник.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своїм правовим статусом Заклад є комунальним закладом та фінансується з обласного бюджету.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самостійно відповідає за своїми зобов’язаннями відповідно до чинного законодавства України.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не відповідає за зобов’язаннями Власника, а Власник не відповідає за зобов’язаннями Закладу.</w:t>
      </w:r>
    </w:p>
    <w:p w:rsidR="001D114C" w:rsidRPr="00D7098C" w:rsidRDefault="001D114C" w:rsidP="001D114C">
      <w:pPr>
        <w:pStyle w:val="1"/>
        <w:numPr>
          <w:ilvl w:val="1"/>
          <w:numId w:val="5"/>
        </w:numPr>
        <w:shd w:val="clear" w:color="auto" w:fill="auto"/>
        <w:tabs>
          <w:tab w:val="left" w:pos="1276"/>
          <w:tab w:val="left" w:pos="1450"/>
        </w:tabs>
        <w:spacing w:before="0" w:line="240" w:lineRule="auto"/>
        <w:ind w:left="0" w:right="2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Держава, її органи не несуть відповідальності за зобов’язаннями Закладу. Заклад не відповідає за зобов’язаннями держави, її органів, а також інших підприємств, установ, організацій.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У межах своєї Статутної діяльності та положень даного Статуту Заклад має право укладати від свого імені угоди, виступати позивачем та відповідачем у судах, господарських, адміністративних та третейських судах.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1.11. </w:t>
      </w:r>
      <w:bookmarkStart w:id="2" w:name="bookmark1"/>
      <w:r>
        <w:rPr>
          <w:sz w:val="28"/>
          <w:szCs w:val="28"/>
          <w:lang w:val="uk-UA"/>
        </w:rPr>
        <w:t>Найменування Закладу: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повне: КОМУНАЛЬНИЙ ЗАКЛАД «ВЕТЕРАНСЬКИЙ ПРОСТІР» РІВНЕНСЬКОЇ ОБЛАСНОЇ РАДИ;</w:t>
      </w:r>
    </w:p>
    <w:p w:rsidR="001D114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скорочене: КЗ «Ветеранський простір» РОР.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Юридична адреса: 33013, м. Рівне, майдан Просвіти, 1, каб. 221Б, Рівненська область.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8"/>
          <w:szCs w:val="28"/>
          <w:lang w:val="uk-UA"/>
        </w:rPr>
      </w:pPr>
    </w:p>
    <w:p w:rsidR="001D114C" w:rsidRPr="00672B11" w:rsidRDefault="001D114C" w:rsidP="001D114C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672B11">
        <w:rPr>
          <w:b/>
          <w:sz w:val="28"/>
          <w:szCs w:val="28"/>
          <w:lang w:val="uk-UA"/>
        </w:rPr>
        <w:t>2. МЕТА СТВОРЕННЯ ТА ПРЕДМЕТ ДІЯЛЬНОСТІ ЗАКЛАДУ</w:t>
      </w:r>
      <w:bookmarkEnd w:id="2"/>
    </w:p>
    <w:p w:rsidR="001D114C" w:rsidRPr="00D7098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538"/>
        </w:tabs>
        <w:spacing w:before="0" w:line="240" w:lineRule="auto"/>
        <w:ind w:left="20" w:right="60" w:firstLine="6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створений з</w:t>
      </w:r>
      <w:r w:rsidRPr="00D7098C">
        <w:rPr>
          <w:sz w:val="28"/>
          <w:szCs w:val="28"/>
          <w:lang w:val="uk-UA"/>
        </w:rPr>
        <w:t xml:space="preserve"> метою сприяння ініціативі та активності </w:t>
      </w:r>
      <w:r>
        <w:rPr>
          <w:sz w:val="28"/>
          <w:szCs w:val="28"/>
          <w:lang w:val="uk-UA"/>
        </w:rPr>
        <w:t>учасників бойових дій, осіб з інвалідністю внаслідок війни, членів їх сімей та членів сімей загиблих (далі - ветерани) в усіх сферах життєдіяльності суспільства, широк</w:t>
      </w:r>
      <w:r w:rsidR="003A4BD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залучення та розширення їх участі у формуванні та реалізації державної політики щодо розв’язання соціальних проблем ветеранів, підвищення ефективності </w:t>
      </w:r>
      <w:r>
        <w:rPr>
          <w:sz w:val="28"/>
          <w:szCs w:val="28"/>
          <w:lang w:val="uk-UA"/>
        </w:rPr>
        <w:lastRenderedPageBreak/>
        <w:t xml:space="preserve">державної політики щодо ветеранів на обласному рівні, надання інформаційної, консультативної допомоги ветеранам, установам, закладам, громадським організаціям, що працюють з ветеранами АТО/ООС. Заклад також надає сприяння родинам осіб, які зникли безвісти, або перебувають </w:t>
      </w:r>
      <w:r w:rsidR="003A4B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полоні у зв’язку із захистом державного суверенітету, незалежності, територіальної цілісності і недоторканості України внаслідок збройної агресії проти України, відповідно до цього Статуту</w:t>
      </w:r>
    </w:p>
    <w:p w:rsidR="001D114C" w:rsidRPr="00D7098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62"/>
        </w:tabs>
        <w:spacing w:before="0" w:line="240" w:lineRule="auto"/>
        <w:ind w:left="20" w:firstLine="68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</w:t>
      </w:r>
      <w:r w:rsidRPr="00D7098C">
        <w:rPr>
          <w:sz w:val="28"/>
          <w:szCs w:val="28"/>
          <w:lang w:val="uk-UA"/>
        </w:rPr>
        <w:t xml:space="preserve"> завданнями </w:t>
      </w:r>
      <w:r>
        <w:rPr>
          <w:sz w:val="28"/>
          <w:szCs w:val="28"/>
          <w:lang w:val="uk-UA"/>
        </w:rPr>
        <w:t xml:space="preserve">Закладу </w:t>
      </w:r>
      <w:r w:rsidRPr="00D7098C">
        <w:rPr>
          <w:sz w:val="28"/>
          <w:szCs w:val="28"/>
          <w:lang w:val="uk-UA"/>
        </w:rPr>
        <w:t>є: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Надання інформаційної, методичної та консультативної допомоги </w:t>
      </w:r>
      <w:r>
        <w:rPr>
          <w:sz w:val="28"/>
          <w:szCs w:val="28"/>
          <w:lang w:val="uk-UA"/>
        </w:rPr>
        <w:t>ветеранам</w:t>
      </w:r>
      <w:r w:rsidRPr="00D709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родинам осіб, які зникли безвісти, або перебувають у полоні у зв’язку із </w:t>
      </w:r>
      <w:r w:rsidRPr="00D70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захистом державного суверенітету, незалежності, територіальної цілісності і недоторканності України внаслідок збройної агресії проти України, </w:t>
      </w:r>
      <w:r w:rsidRPr="00D7098C">
        <w:rPr>
          <w:sz w:val="28"/>
          <w:szCs w:val="28"/>
          <w:lang w:val="uk-UA"/>
        </w:rPr>
        <w:t xml:space="preserve">установам, закладам, громадським організаціям, що працюють з </w:t>
      </w:r>
      <w:r>
        <w:rPr>
          <w:sz w:val="28"/>
          <w:szCs w:val="28"/>
          <w:lang w:val="uk-UA"/>
        </w:rPr>
        <w:t>ветеранами.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>Створення умов для</w:t>
      </w:r>
      <w:r>
        <w:rPr>
          <w:sz w:val="28"/>
          <w:szCs w:val="28"/>
          <w:lang w:val="uk-UA"/>
        </w:rPr>
        <w:t xml:space="preserve"> доступності якісних соціальних послуг,</w:t>
      </w:r>
      <w:r w:rsidRPr="00D7098C">
        <w:rPr>
          <w:sz w:val="28"/>
          <w:szCs w:val="28"/>
          <w:lang w:val="uk-UA"/>
        </w:rPr>
        <w:t xml:space="preserve"> освіти, </w:t>
      </w:r>
      <w:r>
        <w:rPr>
          <w:sz w:val="28"/>
          <w:szCs w:val="28"/>
          <w:lang w:val="uk-UA"/>
        </w:rPr>
        <w:t xml:space="preserve">оздоровлення, медичного забезпечення, </w:t>
      </w:r>
      <w:r w:rsidRPr="00D7098C">
        <w:rPr>
          <w:sz w:val="28"/>
          <w:szCs w:val="28"/>
          <w:lang w:val="uk-UA"/>
        </w:rPr>
        <w:t xml:space="preserve">сприяння інтелектуальному розвитку </w:t>
      </w:r>
      <w:r>
        <w:rPr>
          <w:sz w:val="28"/>
          <w:szCs w:val="28"/>
          <w:lang w:val="uk-UA"/>
        </w:rPr>
        <w:t xml:space="preserve">ветеранів, родинам осіб, які зникли безвісти, або перебувають у полоні у зв’язку із </w:t>
      </w:r>
      <w:r w:rsidRPr="00D70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захистом державного суверенітету, незалежності, територіальної цілісності і недоторканності України внаслідок збройної агресії проти України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Допомога </w:t>
      </w:r>
      <w:r>
        <w:rPr>
          <w:sz w:val="28"/>
          <w:szCs w:val="28"/>
          <w:lang w:val="uk-UA"/>
        </w:rPr>
        <w:t xml:space="preserve">ветеранам </w:t>
      </w:r>
      <w:r w:rsidRPr="00D7098C">
        <w:rPr>
          <w:sz w:val="28"/>
          <w:szCs w:val="28"/>
          <w:lang w:val="uk-UA"/>
        </w:rPr>
        <w:t>у самореалізації і реалізації їх т</w:t>
      </w:r>
      <w:r>
        <w:rPr>
          <w:sz w:val="28"/>
          <w:szCs w:val="28"/>
          <w:lang w:val="uk-UA"/>
        </w:rPr>
        <w:t>ворчих можливостей та ініціатив.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Впровадження системних заходів щодо підвищення культурно-освітнього рівня </w:t>
      </w:r>
      <w:r>
        <w:rPr>
          <w:sz w:val="28"/>
          <w:szCs w:val="28"/>
          <w:lang w:val="uk-UA"/>
        </w:rPr>
        <w:t>ветеранів</w:t>
      </w:r>
      <w:r w:rsidRPr="00D7098C">
        <w:rPr>
          <w:sz w:val="28"/>
          <w:szCs w:val="28"/>
          <w:lang w:val="uk-UA"/>
        </w:rPr>
        <w:t>, їх духовного самовдосконалення та змістовного дозвілля;</w:t>
      </w:r>
    </w:p>
    <w:p w:rsidR="001D114C" w:rsidRPr="00D7098C" w:rsidRDefault="001D114C" w:rsidP="001D114C">
      <w:pPr>
        <w:pStyle w:val="1"/>
        <w:numPr>
          <w:ilvl w:val="2"/>
          <w:numId w:val="7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Забезпечення зайнятості та розвиток підприємницької діяльності </w:t>
      </w:r>
      <w:r>
        <w:rPr>
          <w:sz w:val="28"/>
          <w:szCs w:val="28"/>
          <w:lang w:val="uk-UA"/>
        </w:rPr>
        <w:t>ветеранів, підтримка ветеранів області у починаннях та ініціативах.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2.2.6. </w:t>
      </w:r>
      <w:r w:rsidRPr="00D7098C">
        <w:rPr>
          <w:sz w:val="28"/>
          <w:szCs w:val="28"/>
          <w:lang w:val="uk-UA"/>
        </w:rPr>
        <w:t xml:space="preserve">Сприяння у навчанні </w:t>
      </w:r>
      <w:r>
        <w:rPr>
          <w:sz w:val="28"/>
          <w:szCs w:val="28"/>
          <w:lang w:val="uk-UA"/>
        </w:rPr>
        <w:t xml:space="preserve">ветеранів </w:t>
      </w:r>
      <w:r w:rsidRPr="00D7098C">
        <w:rPr>
          <w:sz w:val="28"/>
          <w:szCs w:val="28"/>
          <w:lang w:val="uk-UA"/>
        </w:rPr>
        <w:t>щодо започаткування та вед</w:t>
      </w:r>
      <w:r>
        <w:rPr>
          <w:sz w:val="28"/>
          <w:szCs w:val="28"/>
          <w:lang w:val="uk-UA"/>
        </w:rPr>
        <w:t>ення підприємницької діяльності.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 Залучення ветеранів до виховання</w:t>
      </w:r>
      <w:r w:rsidRPr="00D7098C">
        <w:rPr>
          <w:sz w:val="28"/>
          <w:szCs w:val="28"/>
          <w:lang w:val="uk-UA"/>
        </w:rPr>
        <w:t xml:space="preserve"> патріотизму, розвитку духовності, моральності молоді, орга</w:t>
      </w:r>
      <w:r>
        <w:rPr>
          <w:sz w:val="28"/>
          <w:szCs w:val="28"/>
          <w:lang w:val="uk-UA"/>
        </w:rPr>
        <w:t>нізації їх змістовного дозвілля.</w:t>
      </w:r>
    </w:p>
    <w:p w:rsidR="001D114C" w:rsidRPr="00B51E7A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2.2.8. </w:t>
      </w:r>
      <w:r w:rsidRPr="00D7098C">
        <w:rPr>
          <w:sz w:val="28"/>
          <w:szCs w:val="28"/>
          <w:lang w:val="uk-UA"/>
        </w:rPr>
        <w:t>Формування та утве</w:t>
      </w:r>
      <w:r>
        <w:rPr>
          <w:sz w:val="28"/>
          <w:szCs w:val="28"/>
          <w:lang w:val="uk-UA"/>
        </w:rPr>
        <w:t>рдження здорового способу життя, сприяння організації оздоровлення та відпочинку ветеранів.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 З</w:t>
      </w:r>
      <w:r w:rsidRPr="00D7098C">
        <w:rPr>
          <w:sz w:val="28"/>
          <w:szCs w:val="28"/>
          <w:lang w:val="uk-UA"/>
        </w:rPr>
        <w:t xml:space="preserve">апобігання негативним явищам у </w:t>
      </w:r>
      <w:r>
        <w:rPr>
          <w:sz w:val="28"/>
          <w:szCs w:val="28"/>
          <w:lang w:val="uk-UA"/>
        </w:rPr>
        <w:t>ветеранському середовищі, інтеграція ветеранів області до світової та європейської ветеранської спільноти.</w:t>
      </w:r>
    </w:p>
    <w:p w:rsidR="001D114C" w:rsidRDefault="001D114C" w:rsidP="001D114C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Забезпечення реалізації прав ветеранів.</w:t>
      </w:r>
    </w:p>
    <w:p w:rsidR="00D4320B" w:rsidRPr="003A4BD1" w:rsidRDefault="001D114C" w:rsidP="00D4320B">
      <w:pPr>
        <w:pStyle w:val="1"/>
        <w:shd w:val="clear" w:color="auto" w:fill="auto"/>
        <w:tabs>
          <w:tab w:val="left" w:pos="0"/>
          <w:tab w:val="left" w:pos="1276"/>
        </w:tabs>
        <w:spacing w:before="0" w:line="240" w:lineRule="auto"/>
        <w:ind w:right="6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D4320B">
        <w:rPr>
          <w:sz w:val="28"/>
          <w:szCs w:val="28"/>
          <w:lang w:val="uk-UA"/>
        </w:rPr>
        <w:t>.11.</w:t>
      </w:r>
      <w:r w:rsidR="00D4320B" w:rsidRPr="003A4BD1">
        <w:rPr>
          <w:sz w:val="28"/>
          <w:szCs w:val="28"/>
          <w:lang w:val="uk-UA"/>
        </w:rPr>
        <w:t xml:space="preserve"> Сприяння у наданні волонтерській діяльності ветеранам та їх родинам, залучення волонтерів до проведення спільних заходів та реалізації проєктів, спрямованих на допомогу в адаптації ветеранів та подоланні наслідків війни.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Закладу є розвиток громадянської активності ветеранів та ветеранського громадського руху, сприяння у забезпеченні постійної співпраці органів виконавчої влади та органів місцевого самоврядування області з ветеранськими громадськими організаціями.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здійснювати за дорученням Власника інші функції для виконання його основної Статутної діяльності.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надавати платні послуги в порядку і межах встановлених чинним законодавством України.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 формує свою господарську, фінансову та іншу діяльність з виконання планів роботи, погоджених з органом, що здійснює галузеве управління </w:t>
      </w:r>
      <w:r>
        <w:rPr>
          <w:sz w:val="28"/>
          <w:szCs w:val="28"/>
          <w:lang w:val="uk-UA"/>
        </w:rPr>
        <w:lastRenderedPageBreak/>
        <w:t>об’єктами спільної власності територіальних громад сіл, селищ, міст Рівненської області виключно на підставі законодавства України, з дотриманням положень, встановлених цим Статутом.</w:t>
      </w:r>
    </w:p>
    <w:p w:rsidR="001D114C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має</w:t>
      </w:r>
      <w:r w:rsidRPr="00056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56674">
        <w:rPr>
          <w:sz w:val="28"/>
          <w:szCs w:val="28"/>
          <w:lang w:val="uk-UA"/>
        </w:rPr>
        <w:t>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</w:t>
      </w:r>
    </w:p>
    <w:p w:rsidR="001D114C" w:rsidRPr="00056674" w:rsidRDefault="001D114C" w:rsidP="001D114C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  <w:tab w:val="left" w:pos="1524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виконання покладених на Заклад завдань, зобов’язань Заклад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426"/>
        </w:tabs>
        <w:spacing w:before="0" w:line="240" w:lineRule="auto"/>
        <w:ind w:left="709" w:right="20" w:firstLine="0"/>
        <w:jc w:val="center"/>
        <w:rPr>
          <w:sz w:val="28"/>
          <w:szCs w:val="28"/>
          <w:lang w:val="uk-UA"/>
        </w:rPr>
      </w:pPr>
      <w:bookmarkStart w:id="3" w:name="bookmark2"/>
    </w:p>
    <w:p w:rsidR="001D114C" w:rsidRPr="00C04ACC" w:rsidRDefault="001D114C" w:rsidP="001D114C">
      <w:pPr>
        <w:pStyle w:val="1"/>
        <w:shd w:val="clear" w:color="auto" w:fill="auto"/>
        <w:tabs>
          <w:tab w:val="left" w:pos="1276"/>
          <w:tab w:val="left" w:pos="1426"/>
        </w:tabs>
        <w:spacing w:before="0" w:line="240" w:lineRule="auto"/>
        <w:ind w:left="709" w:right="20" w:firstLine="0"/>
        <w:jc w:val="center"/>
        <w:rPr>
          <w:b/>
          <w:sz w:val="28"/>
          <w:szCs w:val="28"/>
          <w:lang w:val="uk-UA"/>
        </w:rPr>
      </w:pPr>
      <w:r w:rsidRPr="00C04ACC">
        <w:rPr>
          <w:b/>
          <w:sz w:val="28"/>
          <w:szCs w:val="28"/>
          <w:lang w:val="uk-UA"/>
        </w:rPr>
        <w:t xml:space="preserve">3. </w:t>
      </w:r>
      <w:bookmarkEnd w:id="3"/>
      <w:r w:rsidRPr="00C04ACC">
        <w:rPr>
          <w:b/>
          <w:sz w:val="28"/>
          <w:szCs w:val="28"/>
          <w:lang w:val="uk-UA"/>
        </w:rPr>
        <w:t>МАЙНО ЗАКЛАДУ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Майно Закладу становлять основні фонди та обігові кошти, а також інші матеріальні та фінансові ресурси, вартість яких відображається на самостійному балансі Закладу.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Майно Закладу є спільною власністю територіальних громад сіл, селищ, міст Рівненської області і закріплюється за Закладом на праві оперативного управління.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Відчуження, передача в оренду, заставу, позику, найм юридичним чи фізичним особам, а також списання основних засобів Заклад здійснює у межах чинного законодавства України та відповідно до цього Статуту.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Джерелами формування майна Закладу є: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грошові та матеріальні внески Власника;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майно, передане Власником;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безоплатні або благодійні внески, пожертвування організацій, громадян;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капітальні вкладення і фінансування з бюджету;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майно, придбане в інших суб’єктів господарювання, організацій та громадян, у встановленому законодавством порядку;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джерела, не заборонені чинним законодавством України.</w:t>
      </w:r>
    </w:p>
    <w:p w:rsidR="001D114C" w:rsidRPr="00D7098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3" w:firstLine="692"/>
        <w:jc w:val="both"/>
        <w:rPr>
          <w:sz w:val="28"/>
          <w:szCs w:val="28"/>
          <w:lang w:val="uk-UA"/>
        </w:rPr>
      </w:pPr>
    </w:p>
    <w:p w:rsidR="001D114C" w:rsidRPr="00FA7E5E" w:rsidRDefault="003A4BD1" w:rsidP="003A4BD1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5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1D114C" w:rsidRPr="00FA7E5E">
        <w:rPr>
          <w:b/>
          <w:sz w:val="28"/>
          <w:szCs w:val="28"/>
          <w:lang w:val="uk-UA"/>
        </w:rPr>
        <w:t>ОСОБЛИВОСТІ ДІЯЛЬНОСТІ ЗАКЛАДУ</w:t>
      </w:r>
    </w:p>
    <w:p w:rsidR="001D114C" w:rsidRPr="00D7098C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480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зобов’язаний виконувати завдання Власника, а також враховувати їх при здійсненні своєї статутної діяльності, визначе</w:t>
      </w:r>
      <w:r w:rsidR="003A4BD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ні перспектив свого економічного і соціального розвитку.</w:t>
      </w:r>
    </w:p>
    <w:p w:rsidR="001D114C" w:rsidRPr="00FA7E5E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480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не має права безоплатно передавати належне йому майно іншим юридичним чи фізичним особам. Відчужувати, віддавати в заставу, позику, найм майнові об’єкти, що належать до основних фондів, здавати в оренду цілісні майнові комплекси структурних одиниць та підрозділів Заклад має право лише за попередньою згодою Рівненської обласної ради.</w:t>
      </w:r>
    </w:p>
    <w:p w:rsidR="001D114C" w:rsidRPr="00FA7E5E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504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Списання з балансу матеріальних цінностей проводиться у порядку, визначеному чинним законодавством України.</w:t>
      </w:r>
    </w:p>
    <w:p w:rsidR="001D114C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509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у своїй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1D114C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509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не має в своєму складі інших юридичних осіб.</w:t>
      </w:r>
    </w:p>
    <w:p w:rsidR="001D114C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509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Відносини Закладу з іншими юридичними особами будуються на договірних засадах.</w:t>
      </w:r>
    </w:p>
    <w:p w:rsidR="001D114C" w:rsidRDefault="001D114C" w:rsidP="001D114C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509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має право вступати до об’єднань установ (закладів) в Україні та за її кордонами.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випадку, якщо вступ до відповідних об’єднань передбачає сплату внесків то Заклад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Заклад,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Заклад повин</w:t>
      </w:r>
      <w:r w:rsidR="003A4BD1">
        <w:rPr>
          <w:sz w:val="28"/>
          <w:szCs w:val="28"/>
          <w:lang w:val="uk-UA"/>
        </w:rPr>
        <w:t>ен</w:t>
      </w:r>
      <w:r>
        <w:rPr>
          <w:sz w:val="28"/>
          <w:szCs w:val="28"/>
          <w:lang w:val="uk-UA"/>
        </w:rPr>
        <w:t xml:space="preserve"> погоджувати з органом, що здійснює галузеве управління об’єктами спільної власності територіальних громад сіл, селищ, міст Рівненської області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щорічні та квартальні плани роботи у визначеному ним порядку.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Заклад щорічно до 01 березня року, що настає за звітним роком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надає Власнику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звіт про виконання планів роботи.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 Заклад веде первинний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4.12. Заклад забезпечує своєчасну сплату податків та інших відрахувань згідно з законодавством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4.13. Заклад проводить зовнішньоекономічну діяльність у відповідності до законодавства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4.14. Окремими видами діяльності, що підлягають ліцензуванню та акредитації, Заклад може займатися тільки на підставі спеціального дозволу (ліцензії), отриманого у встановленому законом порядку.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 Заклад є неприбутковою організацією.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4.15.1.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пов'язаних  з ним осіб.</w:t>
      </w:r>
    </w:p>
    <w:p w:rsidR="001D114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4.15.2. Доходи (прибутки) Закладу використовуються виключно для фінансування видатків а утримання Закладу, реалізації мети (цілей, завдань) та напрямів діяльності, визначених Статутом Закладу.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276"/>
          <w:tab w:val="left" w:pos="150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</w:p>
    <w:p w:rsidR="001D114C" w:rsidRPr="00B55170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hanging="20"/>
        <w:jc w:val="center"/>
        <w:rPr>
          <w:b/>
          <w:sz w:val="28"/>
          <w:szCs w:val="28"/>
          <w:lang w:val="uk-UA"/>
        </w:rPr>
      </w:pPr>
      <w:r w:rsidRPr="00B55170">
        <w:rPr>
          <w:b/>
          <w:sz w:val="28"/>
          <w:szCs w:val="28"/>
          <w:lang w:val="uk-UA"/>
        </w:rPr>
        <w:t>5. ОРГАНИ УПРАВЛІННЯ ЗАКЛАДОМ ТА ЇХ КОМПЕТЕНЦІЯ</w:t>
      </w:r>
    </w:p>
    <w:p w:rsidR="001D114C" w:rsidRPr="00D7098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5.1. </w:t>
      </w:r>
      <w:r>
        <w:rPr>
          <w:sz w:val="28"/>
          <w:szCs w:val="28"/>
          <w:lang w:val="uk-UA"/>
        </w:rPr>
        <w:t>Органом управління Заклад</w:t>
      </w:r>
      <w:r w:rsidR="003A4BD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є Рівненська обласна рада.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>До компетенції Рівненської обласної ради належить: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призначення (погодження призначення) та звільнення керівника у випадку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передбаченому законом;</w:t>
      </w:r>
    </w:p>
    <w:p w:rsidR="001D114C" w:rsidRDefault="003A4BD1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основних напрям</w:t>
      </w:r>
      <w:r w:rsidR="001D114C">
        <w:rPr>
          <w:sz w:val="28"/>
          <w:szCs w:val="28"/>
          <w:lang w:val="uk-UA"/>
        </w:rPr>
        <w:t>ів діяльності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затвердження та внесення змін до Статуту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основними засобами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прийняття рішення про відчуження майна, надання майна в позику, заставу, оренду;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прийняття рішення про припинення діяльності Закладу, його ліквідацію, затвердження ліквідаційного балансу;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затвердження звітів про виконання Закладом своїх планів роботи;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погодження штатного розпису Закладу в установленому порядку;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погодження кошторису Закладу в установленому порядку;</w:t>
      </w:r>
    </w:p>
    <w:p w:rsidR="001D114C" w:rsidRPr="00D7098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Закладом.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</w:t>
      </w:r>
      <w:r w:rsidRPr="00D709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D70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 визначає порядок та напрямки використання власних надходжень за будь-який</w:t>
      </w:r>
      <w:r w:rsidRPr="00D70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ради.</w:t>
      </w:r>
    </w:p>
    <w:p w:rsidR="001D114C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both"/>
        <w:rPr>
          <w:sz w:val="28"/>
          <w:szCs w:val="28"/>
          <w:lang w:val="uk-UA"/>
        </w:rPr>
      </w:pPr>
    </w:p>
    <w:p w:rsidR="001D114C" w:rsidRPr="00683071" w:rsidRDefault="001D114C" w:rsidP="001D114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20" w:firstLine="831"/>
        <w:jc w:val="center"/>
        <w:rPr>
          <w:b/>
          <w:sz w:val="28"/>
          <w:szCs w:val="28"/>
          <w:lang w:val="uk-UA"/>
        </w:rPr>
      </w:pPr>
      <w:r w:rsidRPr="00683071">
        <w:rPr>
          <w:b/>
          <w:sz w:val="28"/>
          <w:szCs w:val="28"/>
          <w:lang w:val="uk-UA"/>
        </w:rPr>
        <w:t>КЕРІВНИК ЗАКЛАДУ</w:t>
      </w:r>
    </w:p>
    <w:p w:rsidR="001D114C" w:rsidRDefault="001D114C" w:rsidP="001D114C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629"/>
        </w:tabs>
        <w:spacing w:before="0" w:line="240" w:lineRule="auto"/>
        <w:ind w:left="0"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поточною діяльністю Закладу здійснює Директор, (далі- Керівник), який призначається Власником.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29"/>
        </w:tabs>
        <w:spacing w:before="0" w:line="240" w:lineRule="auto"/>
        <w:ind w:right="4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передбаченому законом, керівник призначається Власником або органом, що здійснює галузеве управління об’єктами спільної власності територіальних громад сіл, селищ, міст Рівненської області шляхом уклад</w:t>
      </w:r>
      <w:r w:rsidR="003A4BD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 контракту.</w:t>
      </w:r>
    </w:p>
    <w:p w:rsidR="001D114C" w:rsidRDefault="003A4BD1" w:rsidP="001D114C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D114C">
        <w:rPr>
          <w:sz w:val="28"/>
          <w:szCs w:val="28"/>
          <w:lang w:val="uk-UA"/>
        </w:rPr>
        <w:t xml:space="preserve"> Контракті визначається строк найму, права, обов’язки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1D114C" w:rsidRDefault="001D114C" w:rsidP="001D114C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може бути звільнений з посади раніше закінчення терміну дії Контракту з підстав та в порядку</w:t>
      </w:r>
      <w:r w:rsidR="003A4B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1D114C" w:rsidRDefault="001D114C" w:rsidP="001D114C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підзвітний Власнику з усіх питань Статутної,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України.</w:t>
      </w:r>
    </w:p>
    <w:p w:rsidR="001D114C" w:rsidRDefault="001D114C" w:rsidP="001D114C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вирішує всі питання діяльності Закладу, з урахуванням обмежень, передбачених цим Статутом.</w:t>
      </w:r>
    </w:p>
    <w:p w:rsidR="001D114C" w:rsidRDefault="001D114C" w:rsidP="001D114C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компетенції Керівника відноситься: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 w:rsidRPr="005725B4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8.1. забезпечення Статутної діяльності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5.8.2.вирішення поточних питань роботи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5.8.3. вирішення внутрішніх кадрових питань;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5.8.4. вирішення питань матеріально-технічного забезпечення;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5.8.5. організація ведення обліку, звітності, внутрішнього контролю;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5.8.6. визначення порядку оплати праці працівників Закладу;</w:t>
      </w:r>
    </w:p>
    <w:p w:rsidR="001D114C" w:rsidRDefault="003A4BD1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5.8.7. укладення</w:t>
      </w:r>
      <w:r w:rsidR="001D114C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="001D114C">
        <w:rPr>
          <w:sz w:val="28"/>
          <w:szCs w:val="28"/>
          <w:lang w:val="uk-UA"/>
        </w:rPr>
        <w:t xml:space="preserve"> та угод, які пов’язані з діяльністю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5.8.8. вида</w:t>
      </w:r>
      <w:r w:rsidR="003A4BD1">
        <w:rPr>
          <w:sz w:val="28"/>
          <w:szCs w:val="28"/>
          <w:lang w:val="uk-UA"/>
        </w:rPr>
        <w:t>ча</w:t>
      </w:r>
      <w:r>
        <w:rPr>
          <w:sz w:val="28"/>
          <w:szCs w:val="28"/>
          <w:lang w:val="uk-UA"/>
        </w:rPr>
        <w:t xml:space="preserve"> довіреност</w:t>
      </w:r>
      <w:r w:rsidR="003A4BD1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на представництво та захист інтересів в суді та інш</w:t>
      </w:r>
      <w:r w:rsidR="003A4BD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довіреност</w:t>
      </w:r>
      <w:r w:rsidR="003A4BD1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>, які необхідні для забезпечення діяльності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5.8.9. відкри</w:t>
      </w:r>
      <w:r w:rsidR="003A4BD1">
        <w:rPr>
          <w:sz w:val="28"/>
          <w:szCs w:val="28"/>
          <w:lang w:val="uk-UA"/>
        </w:rPr>
        <w:t>ття</w:t>
      </w:r>
      <w:r>
        <w:rPr>
          <w:sz w:val="28"/>
          <w:szCs w:val="28"/>
          <w:lang w:val="uk-UA"/>
        </w:rPr>
        <w:t xml:space="preserve"> в органах державної казначейської служби рахунк</w:t>
      </w:r>
      <w:r w:rsidR="003A4BD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які необхідні для забезпечення діяльності Закладу;</w:t>
      </w:r>
    </w:p>
    <w:p w:rsidR="001D114C" w:rsidRDefault="003A4BD1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5.8.10. </w:t>
      </w:r>
      <w:r w:rsidR="001D114C">
        <w:rPr>
          <w:sz w:val="28"/>
          <w:szCs w:val="28"/>
          <w:lang w:val="uk-UA"/>
        </w:rPr>
        <w:t>право першого підпису на фінансових документах;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5.8.11. </w:t>
      </w:r>
      <w:r w:rsidR="003A4BD1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коштами та майном Закладу відповідно до чинного законодавства України та Статуту;</w:t>
      </w:r>
    </w:p>
    <w:p w:rsidR="001D114C" w:rsidRDefault="003A4BD1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5.8.12. прийняття</w:t>
      </w:r>
      <w:r w:rsidR="001D114C">
        <w:rPr>
          <w:sz w:val="28"/>
          <w:szCs w:val="28"/>
          <w:lang w:val="uk-UA"/>
        </w:rPr>
        <w:t xml:space="preserve"> на роботу та звільн</w:t>
      </w:r>
      <w:r>
        <w:rPr>
          <w:sz w:val="28"/>
          <w:szCs w:val="28"/>
          <w:lang w:val="uk-UA"/>
        </w:rPr>
        <w:t>ення</w:t>
      </w:r>
      <w:r w:rsidR="001D114C">
        <w:rPr>
          <w:sz w:val="28"/>
          <w:szCs w:val="28"/>
          <w:lang w:val="uk-UA"/>
        </w:rPr>
        <w:t xml:space="preserve"> з роботи працівників Закладу згідно з чинним законодавством України;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5.8.13. затвердж</w:t>
      </w:r>
      <w:r w:rsidR="003A4BD1">
        <w:rPr>
          <w:sz w:val="28"/>
          <w:szCs w:val="28"/>
          <w:lang w:val="uk-UA"/>
        </w:rPr>
        <w:t>ення положень</w:t>
      </w:r>
      <w:r>
        <w:rPr>
          <w:sz w:val="28"/>
          <w:szCs w:val="28"/>
          <w:lang w:val="uk-UA"/>
        </w:rPr>
        <w:t xml:space="preserve"> про структурні підрозділи Закладу, посадов</w:t>
      </w:r>
      <w:r w:rsidR="003A4BD1">
        <w:rPr>
          <w:sz w:val="28"/>
          <w:szCs w:val="28"/>
          <w:lang w:val="uk-UA"/>
        </w:rPr>
        <w:t>их інструкцій</w:t>
      </w:r>
      <w:r>
        <w:rPr>
          <w:sz w:val="28"/>
          <w:szCs w:val="28"/>
          <w:lang w:val="uk-UA"/>
        </w:rPr>
        <w:t xml:space="preserve"> працівників та інш</w:t>
      </w:r>
      <w:r w:rsidR="003A4BD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необхідн</w:t>
      </w:r>
      <w:r w:rsidR="003A4BD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документ</w:t>
      </w:r>
      <w:r w:rsidR="003A4BD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5.8.14. веде</w:t>
      </w:r>
      <w:r w:rsidR="003A4BD1">
        <w:rPr>
          <w:sz w:val="28"/>
          <w:szCs w:val="28"/>
          <w:lang w:val="uk-UA"/>
        </w:rPr>
        <w:t>ння переговорів</w:t>
      </w:r>
      <w:r>
        <w:rPr>
          <w:sz w:val="28"/>
          <w:szCs w:val="28"/>
          <w:lang w:val="uk-UA"/>
        </w:rPr>
        <w:t xml:space="preserve"> щодо укладення колективного договору, уклад</w:t>
      </w:r>
      <w:r w:rsidR="003A4BD1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колективн</w:t>
      </w:r>
      <w:r w:rsidR="003A4BD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догов</w:t>
      </w:r>
      <w:r w:rsidR="003A4BD1">
        <w:rPr>
          <w:sz w:val="28"/>
          <w:szCs w:val="28"/>
          <w:lang w:val="uk-UA"/>
        </w:rPr>
        <w:t>ору, звітування</w:t>
      </w:r>
      <w:r>
        <w:rPr>
          <w:sz w:val="28"/>
          <w:szCs w:val="28"/>
          <w:lang w:val="uk-UA"/>
        </w:rPr>
        <w:t xml:space="preserve"> та несе</w:t>
      </w:r>
      <w:r w:rsidR="003A4BD1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відповідальн</w:t>
      </w:r>
      <w:r w:rsidR="003A4BD1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 xml:space="preserve"> за його виконання;</w:t>
      </w:r>
    </w:p>
    <w:p w:rsidR="001D114C" w:rsidRDefault="003A4BD1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5.8.15. наклад</w:t>
      </w:r>
      <w:r w:rsidR="0088709C">
        <w:rPr>
          <w:sz w:val="28"/>
          <w:szCs w:val="28"/>
          <w:lang w:val="uk-UA"/>
        </w:rPr>
        <w:t>ення дисциплінарних стягнень</w:t>
      </w:r>
      <w:r w:rsidR="001D114C">
        <w:rPr>
          <w:sz w:val="28"/>
          <w:szCs w:val="28"/>
          <w:lang w:val="uk-UA"/>
        </w:rPr>
        <w:t xml:space="preserve"> на працівників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5.8.16. </w:t>
      </w:r>
      <w:r w:rsidR="0088709C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 xml:space="preserve">проведення попередніх та періодичних медичних оглядів працівників Закладу </w:t>
      </w:r>
      <w:r w:rsidR="0088709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вимог Кодексу законів про працю України;</w:t>
      </w:r>
    </w:p>
    <w:p w:rsidR="001D114C" w:rsidRDefault="0088709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5.8.17. створення</w:t>
      </w:r>
      <w:r w:rsidR="001D114C">
        <w:rPr>
          <w:sz w:val="28"/>
          <w:szCs w:val="28"/>
          <w:lang w:val="uk-UA"/>
        </w:rPr>
        <w:t xml:space="preserve"> належн</w:t>
      </w:r>
      <w:r>
        <w:rPr>
          <w:sz w:val="28"/>
          <w:szCs w:val="28"/>
          <w:lang w:val="uk-UA"/>
        </w:rPr>
        <w:t>их</w:t>
      </w:r>
      <w:r w:rsidR="001D114C">
        <w:rPr>
          <w:sz w:val="28"/>
          <w:szCs w:val="28"/>
          <w:lang w:val="uk-UA"/>
        </w:rPr>
        <w:t xml:space="preserve"> умов працівникам для високопродуктивної праці, забезпеч</w:t>
      </w:r>
      <w:r>
        <w:rPr>
          <w:sz w:val="28"/>
          <w:szCs w:val="28"/>
          <w:lang w:val="uk-UA"/>
        </w:rPr>
        <w:t>ення</w:t>
      </w:r>
      <w:r w:rsidR="001D114C">
        <w:rPr>
          <w:sz w:val="28"/>
          <w:szCs w:val="28"/>
          <w:lang w:val="uk-UA"/>
        </w:rPr>
        <w:t xml:space="preserve"> додержання законодавства про працю, правил та норм охорони праці, техніки безпеки, соціального страхування;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5.8.18. несе</w:t>
      </w:r>
      <w:r w:rsidR="0088709C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персональн</w:t>
      </w:r>
      <w:r w:rsidR="0088709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відповідальн</w:t>
      </w:r>
      <w:r w:rsidR="0088709C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 xml:space="preserve"> за збереження, відчуження, списання майна та втрати у будь-якій формі, майна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5.8.19. несе</w:t>
      </w:r>
      <w:r w:rsidR="0088709C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персональн</w:t>
      </w:r>
      <w:r w:rsidR="0088709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відповідальн</w:t>
      </w:r>
      <w:r w:rsidR="0088709C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 xml:space="preserve"> за будь-які порушення</w:t>
      </w:r>
      <w:r w:rsidR="008870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вчинені при зміні балансової вартості майна Закладу; </w:t>
      </w:r>
    </w:p>
    <w:p w:rsidR="001D114C" w:rsidRDefault="0088709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5.8.20. вчинення</w:t>
      </w:r>
      <w:r w:rsidR="001D114C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их</w:t>
      </w:r>
      <w:r w:rsidR="001D114C">
        <w:rPr>
          <w:sz w:val="28"/>
          <w:szCs w:val="28"/>
          <w:lang w:val="uk-UA"/>
        </w:rPr>
        <w:t xml:space="preserve"> ді</w:t>
      </w:r>
      <w:r>
        <w:rPr>
          <w:sz w:val="28"/>
          <w:szCs w:val="28"/>
          <w:lang w:val="uk-UA"/>
        </w:rPr>
        <w:t>й</w:t>
      </w:r>
      <w:r w:rsidR="001D114C">
        <w:rPr>
          <w:sz w:val="28"/>
          <w:szCs w:val="28"/>
          <w:lang w:val="uk-UA"/>
        </w:rPr>
        <w:t xml:space="preserve"> в порядку та межах</w:t>
      </w:r>
      <w:r>
        <w:rPr>
          <w:sz w:val="28"/>
          <w:szCs w:val="28"/>
          <w:lang w:val="uk-UA"/>
        </w:rPr>
        <w:t>,</w:t>
      </w:r>
      <w:r w:rsidR="001D114C">
        <w:rPr>
          <w:sz w:val="28"/>
          <w:szCs w:val="28"/>
          <w:lang w:val="uk-UA"/>
        </w:rPr>
        <w:t xml:space="preserve"> встановлених законодавством</w:t>
      </w:r>
      <w:r w:rsidR="001D114C" w:rsidRPr="00B06EC6">
        <w:rPr>
          <w:sz w:val="28"/>
          <w:szCs w:val="28"/>
          <w:lang w:val="uk-UA"/>
        </w:rPr>
        <w:t xml:space="preserve"> </w:t>
      </w:r>
      <w:r w:rsidR="001D114C">
        <w:rPr>
          <w:sz w:val="28"/>
          <w:szCs w:val="28"/>
          <w:lang w:val="uk-UA"/>
        </w:rPr>
        <w:t>України.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 При здійсненні діяльності Закладу Керівник забезпечує: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5.9.1. Дотримання відповідних умов, передбачених чинним законодавством України щодо діяльності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5.9.2. Організацію бухгалтерського обліку та контролю за фінансовою звітністю Закладу;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5.9.3. Розробку структури та штатного розпису Закладу та подання їх на затвердження в установленому порядку;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5.9.4. Належний рівень побутових умов для перебування в Закладі;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5.9.5. Виконання Закладом у своїй діяльності норм та вимог щодо охорони навколишнього середовища, раціонального використання і відтворення природних ресурсів, а також забезпечення екологічної безпеки.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5.10. У межах своєї компетенції Керівник видає накази, розпорядження, обов’язкові для виконання усіма працівниками Закладу та здійснює контроль за їх виконанням.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 Керівник має право без довіреності виконувати дії від імені Закладу в межах чинного законодавства України.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 У разі відсутності Керівника його обов’язки виконує заступник згідно із розподілом функціональних обов’язків. А у разі відсутності особи, що може виконувати обов’язки Керівника, його обов’язки виконує посадова особа, визначена Власником в установленому порядку.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5.13. Керівник та головний бухгалтер Закладу несуть персональну відповідальність за додержання порядку ведення і достовірності обліку та звітності.</w:t>
      </w:r>
    </w:p>
    <w:p w:rsidR="001D114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5.14. На вимогу Власника або органу, що здійснює галузеве управління об’єктами спільної власності територіальних громад сіл, селищ, міст Рівненської </w:t>
      </w:r>
      <w:r>
        <w:rPr>
          <w:sz w:val="28"/>
          <w:szCs w:val="28"/>
          <w:lang w:val="uk-UA"/>
        </w:rPr>
        <w:lastRenderedPageBreak/>
        <w:t xml:space="preserve">області, Заклад у встановлений ними термін надає інформацію стосовно будь-яких напрямів своєї діяльності. </w:t>
      </w:r>
    </w:p>
    <w:p w:rsidR="001D114C" w:rsidRPr="00D7098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1D114C" w:rsidRPr="00AC021C" w:rsidRDefault="001D114C" w:rsidP="001D114C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left="20" w:hanging="20"/>
        <w:jc w:val="center"/>
        <w:rPr>
          <w:b/>
          <w:sz w:val="28"/>
          <w:szCs w:val="28"/>
          <w:lang w:val="uk-UA"/>
        </w:rPr>
      </w:pPr>
      <w:r w:rsidRPr="00AC021C">
        <w:rPr>
          <w:b/>
          <w:sz w:val="28"/>
          <w:szCs w:val="28"/>
          <w:lang w:val="uk-UA"/>
        </w:rPr>
        <w:t>6. ТРУДОВИЙ КОЛЕКТИВ</w:t>
      </w:r>
    </w:p>
    <w:p w:rsidR="001D114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0" w:right="40" w:firstLine="8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Трудовий колектив Закладу складають фізичні особи, які своєю працею беруть участь у його діяльності на підставі трудових договорів.</w:t>
      </w:r>
    </w:p>
    <w:p w:rsidR="001D114C" w:rsidRDefault="001D114C" w:rsidP="001D114C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Трудовий колектив Закладу формується на загальних засадах відповідно до вимог чинного законодавства України.</w:t>
      </w:r>
    </w:p>
    <w:p w:rsidR="001D114C" w:rsidRDefault="001D114C" w:rsidP="001D114C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збори.</w:t>
      </w:r>
    </w:p>
    <w:p w:rsidR="001D114C" w:rsidRDefault="001D114C" w:rsidP="001D114C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організації та оплати праці трудового колективу Закладу, їх соціальний захист визначаються відповідно до вимог чинного законодавства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873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Відносини між адміністрацією Закладу та трудовим колективом регулюються колективним договором та правилами внутрішнього трудового розпорядку.</w:t>
      </w:r>
    </w:p>
    <w:p w:rsidR="001D114C" w:rsidRDefault="001D114C" w:rsidP="001D114C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трудового колективу розглядають проєкт колективного договору та приймають рішення щодо схвалення або відхилення цього проєкту.</w:t>
      </w:r>
    </w:p>
    <w:p w:rsidR="001D114C" w:rsidRPr="00AC021C" w:rsidRDefault="001D114C" w:rsidP="001D114C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left" w:pos="1873"/>
        </w:tabs>
        <w:spacing w:before="0"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 в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908"/>
        </w:tabs>
        <w:spacing w:before="0" w:line="240" w:lineRule="auto"/>
        <w:ind w:left="709" w:firstLine="0"/>
        <w:jc w:val="center"/>
        <w:rPr>
          <w:rStyle w:val="10"/>
          <w:b w:val="0"/>
          <w:i w:val="0"/>
          <w:sz w:val="28"/>
          <w:szCs w:val="28"/>
          <w:lang w:val="uk-UA"/>
        </w:rPr>
      </w:pPr>
      <w:bookmarkStart w:id="4" w:name="bookmark3"/>
    </w:p>
    <w:p w:rsidR="001D114C" w:rsidRPr="002E4C43" w:rsidRDefault="001D114C" w:rsidP="001D114C">
      <w:pPr>
        <w:pStyle w:val="1"/>
        <w:shd w:val="clear" w:color="auto" w:fill="auto"/>
        <w:tabs>
          <w:tab w:val="left" w:pos="1418"/>
          <w:tab w:val="left" w:pos="1908"/>
        </w:tabs>
        <w:spacing w:before="0" w:line="240" w:lineRule="auto"/>
        <w:ind w:left="709" w:firstLine="0"/>
        <w:jc w:val="center"/>
        <w:rPr>
          <w:b/>
          <w:sz w:val="28"/>
          <w:szCs w:val="28"/>
          <w:lang w:val="uk-UA"/>
        </w:rPr>
      </w:pPr>
      <w:r w:rsidRPr="002E4C43">
        <w:rPr>
          <w:rStyle w:val="10"/>
          <w:b w:val="0"/>
          <w:i w:val="0"/>
          <w:sz w:val="28"/>
          <w:szCs w:val="28"/>
          <w:lang w:val="uk-UA"/>
        </w:rPr>
        <w:t>7.</w:t>
      </w:r>
      <w:r w:rsidRPr="002E4C43">
        <w:rPr>
          <w:b/>
          <w:sz w:val="28"/>
          <w:szCs w:val="28"/>
          <w:lang w:val="uk-UA"/>
        </w:rPr>
        <w:t xml:space="preserve"> </w:t>
      </w:r>
      <w:bookmarkEnd w:id="4"/>
      <w:r w:rsidRPr="002E4C43">
        <w:rPr>
          <w:b/>
          <w:sz w:val="28"/>
          <w:szCs w:val="28"/>
          <w:lang w:val="uk-UA"/>
        </w:rPr>
        <w:t>КОНТРОЛЬ ЗА ДІЯЛЬНІСТЮ ЗАКЛАДУ</w:t>
      </w:r>
    </w:p>
    <w:p w:rsidR="001D114C" w:rsidRDefault="001D114C" w:rsidP="001D114C">
      <w:pPr>
        <w:pStyle w:val="1"/>
        <w:numPr>
          <w:ilvl w:val="0"/>
          <w:numId w:val="3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діяльністю закладу здійснює Рівненська обласна рада.</w:t>
      </w:r>
    </w:p>
    <w:p w:rsidR="001D114C" w:rsidRDefault="001D114C" w:rsidP="001D114C">
      <w:pPr>
        <w:pStyle w:val="1"/>
        <w:numPr>
          <w:ilvl w:val="0"/>
          <w:numId w:val="3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Відносини Закладу з органами державної влади і місцевого самоврядування регулюються відповідно до цього Статуту, Законів України «Про місцеве</w:t>
      </w:r>
      <w:r w:rsidR="0088709C">
        <w:rPr>
          <w:sz w:val="28"/>
          <w:szCs w:val="28"/>
          <w:lang w:val="uk-UA"/>
        </w:rPr>
        <w:t xml:space="preserve"> самоврядування в Україні» та «</w:t>
      </w:r>
      <w:r>
        <w:rPr>
          <w:sz w:val="28"/>
          <w:szCs w:val="28"/>
          <w:lang w:val="uk-UA"/>
        </w:rPr>
        <w:t>Про місцеві державні адміністрації», інших нормативно-правових актів України, які визначають компетенцію цих органів.</w:t>
      </w:r>
    </w:p>
    <w:p w:rsidR="001D114C" w:rsidRPr="00D7098C" w:rsidRDefault="0088709C" w:rsidP="001D114C">
      <w:pPr>
        <w:pStyle w:val="1"/>
        <w:numPr>
          <w:ilvl w:val="0"/>
          <w:numId w:val="3"/>
        </w:numPr>
        <w:shd w:val="clear" w:color="auto" w:fill="auto"/>
        <w:tabs>
          <w:tab w:val="left" w:pos="1418"/>
          <w:tab w:val="left" w:pos="1582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вимогу Власника</w:t>
      </w:r>
      <w:r w:rsidR="001D114C">
        <w:rPr>
          <w:sz w:val="28"/>
          <w:szCs w:val="28"/>
          <w:lang w:val="uk-UA"/>
        </w:rPr>
        <w:t xml:space="preserve"> Заклад зобов’язаний проводити незалежну аудиторську перевірку фінансової звітності та бухгалтерського обліку.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39"/>
        </w:tabs>
        <w:spacing w:before="0" w:line="240" w:lineRule="auto"/>
        <w:ind w:left="709" w:firstLine="0"/>
        <w:jc w:val="left"/>
        <w:rPr>
          <w:sz w:val="28"/>
          <w:szCs w:val="28"/>
          <w:lang w:val="uk-UA"/>
        </w:rPr>
      </w:pPr>
      <w:bookmarkStart w:id="5" w:name="bookmark4"/>
    </w:p>
    <w:bookmarkEnd w:id="5"/>
    <w:p w:rsidR="001D114C" w:rsidRPr="002E4C43" w:rsidRDefault="001D114C" w:rsidP="001D114C">
      <w:pPr>
        <w:pStyle w:val="1"/>
        <w:shd w:val="clear" w:color="auto" w:fill="auto"/>
        <w:tabs>
          <w:tab w:val="left" w:pos="1418"/>
          <w:tab w:val="left" w:pos="1639"/>
        </w:tabs>
        <w:spacing w:before="0" w:line="240" w:lineRule="auto"/>
        <w:ind w:left="709" w:firstLine="0"/>
        <w:jc w:val="center"/>
        <w:rPr>
          <w:b/>
          <w:sz w:val="28"/>
          <w:szCs w:val="28"/>
          <w:lang w:val="uk-UA"/>
        </w:rPr>
      </w:pPr>
      <w:r w:rsidRPr="002E4C43">
        <w:rPr>
          <w:b/>
          <w:sz w:val="28"/>
          <w:szCs w:val="28"/>
          <w:lang w:val="uk-UA"/>
        </w:rPr>
        <w:t>8. ПРИПИНЕННЯ ДІЯЛЬНОСТІ ЗАКЛАДУ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8.1. </w:t>
      </w:r>
      <w:r w:rsidRPr="00D709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Діяльність Закладу п</w:t>
      </w:r>
      <w:r w:rsidR="0088709C">
        <w:rPr>
          <w:sz w:val="28"/>
          <w:szCs w:val="28"/>
          <w:lang w:val="uk-UA"/>
        </w:rPr>
        <w:t>рипиняється в результаті передачі</w:t>
      </w:r>
      <w:r>
        <w:rPr>
          <w:sz w:val="28"/>
          <w:szCs w:val="28"/>
          <w:lang w:val="uk-UA"/>
        </w:rPr>
        <w:t xml:space="preserve"> всього свого майна, прав та обов’язків іншим юридичним особам-правонаступникам (злиття, приєднання, поділу, перетворення, виділ) або ліквідації. 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8.2. </w:t>
      </w:r>
      <w:r>
        <w:rPr>
          <w:sz w:val="28"/>
          <w:szCs w:val="28"/>
          <w:lang w:val="uk-UA"/>
        </w:rPr>
        <w:t>Злиття, приєднання, поділ, перетворення та виділ здійснюються за рішенням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8.3. </w:t>
      </w:r>
      <w:r>
        <w:rPr>
          <w:sz w:val="28"/>
          <w:szCs w:val="28"/>
          <w:lang w:val="uk-UA"/>
        </w:rPr>
        <w:t>Рівненська обласна рада або суд призначають комісію з припинення діяльності Закладу (ліквідаційну комісію, ліквідатора тощо) та встановлюють порядок і строки припинення діяльності Закладу відповідно до чинного законодавства України.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t xml:space="preserve">8.4. </w:t>
      </w:r>
      <w:r w:rsidRPr="00D709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Виконання функцій комісії з припинення діяльності Закладу може бути покладено на орган, що здійснює галузеве управління об’єктами спільної власності територіальних громад сіл, селищ, міст Рівненської області.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 w:rsidRPr="00D7098C">
        <w:rPr>
          <w:sz w:val="28"/>
          <w:szCs w:val="28"/>
          <w:lang w:val="uk-UA"/>
        </w:rPr>
        <w:lastRenderedPageBreak/>
        <w:t xml:space="preserve">8.5. </w:t>
      </w:r>
      <w:r>
        <w:rPr>
          <w:sz w:val="28"/>
          <w:szCs w:val="28"/>
          <w:lang w:val="uk-UA"/>
        </w:rPr>
        <w:t>У разі злиття Закладу з іншою юридичною особою усі майнові, права та обов’язки кожного з них переходять до юридичної особи, що утворена внаслідок злиття.</w:t>
      </w:r>
    </w:p>
    <w:p w:rsidR="001D114C" w:rsidRPr="00D7098C" w:rsidRDefault="001D114C" w:rsidP="001D114C">
      <w:pPr>
        <w:numPr>
          <w:ilvl w:val="0"/>
          <w:numId w:val="4"/>
        </w:numPr>
        <w:tabs>
          <w:tab w:val="left" w:pos="1418"/>
          <w:tab w:val="left" w:pos="1767"/>
        </w:tabs>
        <w:ind w:left="23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приєднання Закладу до іншої юридичної особи, до останньої переходять усі майнові права та обов’язки, а в разі приєднання одного або кількох юридичних осіб до Закладу – до нього переходять усі майнові права та обов’язки приєднаних юридичних осіб.</w:t>
      </w:r>
    </w:p>
    <w:p w:rsidR="001D114C" w:rsidRDefault="001D114C" w:rsidP="001D114C">
      <w:pPr>
        <w:pStyle w:val="1"/>
        <w:numPr>
          <w:ilvl w:val="0"/>
          <w:numId w:val="4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bookmarkStart w:id="6" w:name="bookmark5"/>
      <w:r>
        <w:rPr>
          <w:sz w:val="28"/>
          <w:szCs w:val="28"/>
          <w:lang w:val="uk-UA"/>
        </w:rPr>
        <w:t>У разі поділу Закладу, усі його майнові права і обов’язки переходять за розподільним актом (балансом) у відповідних частках до кожної з нових юридичних осіб.</w:t>
      </w:r>
    </w:p>
    <w:p w:rsidR="001D114C" w:rsidRDefault="001D114C" w:rsidP="001D114C">
      <w:pPr>
        <w:pStyle w:val="1"/>
        <w:numPr>
          <w:ilvl w:val="0"/>
          <w:numId w:val="4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обов’язки Закладу.</w:t>
      </w:r>
    </w:p>
    <w:p w:rsidR="001D114C" w:rsidRDefault="001D114C" w:rsidP="001D114C">
      <w:pPr>
        <w:pStyle w:val="1"/>
        <w:numPr>
          <w:ilvl w:val="0"/>
          <w:numId w:val="4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перетворення Закладу в іншу юридичну особу усі його майнові права і обов’язки переходять до новоутвореної юридичної особи.</w:t>
      </w:r>
    </w:p>
    <w:p w:rsidR="001D114C" w:rsidRDefault="001D114C" w:rsidP="001D114C">
      <w:pPr>
        <w:pStyle w:val="1"/>
        <w:numPr>
          <w:ilvl w:val="0"/>
          <w:numId w:val="4"/>
        </w:numPr>
        <w:shd w:val="clear" w:color="auto" w:fill="auto"/>
        <w:tabs>
          <w:tab w:val="left" w:pos="1418"/>
          <w:tab w:val="left" w:pos="1686"/>
        </w:tabs>
        <w:spacing w:before="0" w:line="240" w:lineRule="auto"/>
        <w:ind w:left="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може бути ліквідований: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left="87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 рішенням Рівненської обласної ради;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 рішенням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8.11 Активи Закладу можуть передаватись закладу, установі, підприємству, організації відповідного виду в порядку</w:t>
      </w:r>
      <w:r w:rsidR="008870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визначеному чинним законодавством України.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припинення Закладу (в результаті його ліквідації, злиття, поділу, виділу, приєднання або перетворення), якщо інше не передбачено законодавством, активи можуть зараховуватись до доходів обласного бюджету.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8.12. Заклад є таким, діяльність якого припинилася, з дня внесення до єдиного державного реєстру запису про припинення його діяльності.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jc w:val="center"/>
        <w:rPr>
          <w:b/>
          <w:sz w:val="28"/>
          <w:szCs w:val="28"/>
          <w:lang w:val="uk-UA"/>
        </w:rPr>
      </w:pPr>
      <w:r w:rsidRPr="00F61B06">
        <w:rPr>
          <w:b/>
          <w:sz w:val="28"/>
          <w:szCs w:val="28"/>
          <w:lang w:val="uk-UA"/>
        </w:rPr>
        <w:t>9 ПРИКІНЦЕВІ ПОЛОЖЕННЯ</w:t>
      </w:r>
    </w:p>
    <w:p w:rsidR="001D114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Зміни та доповнення до цього Статуту вносяться на підставі рішення Рівненської обласної ради.</w:t>
      </w:r>
    </w:p>
    <w:p w:rsidR="001D114C" w:rsidRPr="00F61B06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1D114C" w:rsidRPr="00D7098C" w:rsidRDefault="001D114C" w:rsidP="001D114C">
      <w:pPr>
        <w:pStyle w:val="1"/>
        <w:shd w:val="clear" w:color="auto" w:fill="auto"/>
        <w:tabs>
          <w:tab w:val="left" w:pos="1418"/>
          <w:tab w:val="left" w:pos="1686"/>
        </w:tabs>
        <w:spacing w:before="0" w:line="240" w:lineRule="auto"/>
        <w:ind w:left="709" w:firstLine="0"/>
        <w:rPr>
          <w:sz w:val="28"/>
          <w:szCs w:val="28"/>
          <w:lang w:val="uk-UA"/>
        </w:rPr>
      </w:pPr>
    </w:p>
    <w:bookmarkEnd w:id="6"/>
    <w:p w:rsidR="001D114C" w:rsidRPr="00D7098C" w:rsidRDefault="001D114C" w:rsidP="001D114C">
      <w:pPr>
        <w:pStyle w:val="1"/>
        <w:shd w:val="clear" w:color="auto" w:fill="auto"/>
        <w:spacing w:before="0" w:line="240" w:lineRule="auto"/>
        <w:ind w:firstLine="0"/>
        <w:rPr>
          <w:b/>
          <w:sz w:val="32"/>
          <w:szCs w:val="32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  <w:r w:rsidRPr="00D7098C">
        <w:rPr>
          <w:b/>
          <w:sz w:val="32"/>
          <w:szCs w:val="32"/>
          <w:lang w:val="uk-UA"/>
        </w:rPr>
        <w:tab/>
      </w:r>
    </w:p>
    <w:p w:rsidR="0088156C" w:rsidRDefault="0088156C"/>
    <w:sectPr w:rsidR="0088156C" w:rsidSect="0094774D">
      <w:footerReference w:type="default" r:id="rId8"/>
      <w:pgSz w:w="11905" w:h="16837"/>
      <w:pgMar w:top="709" w:right="706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4E" w:rsidRDefault="001E524E" w:rsidP="00C61AAE">
      <w:r>
        <w:separator/>
      </w:r>
    </w:p>
  </w:endnote>
  <w:endnote w:type="continuationSeparator" w:id="0">
    <w:p w:rsidR="001E524E" w:rsidRDefault="001E524E" w:rsidP="00C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4D" w:rsidRDefault="00F171A7">
    <w:pPr>
      <w:pStyle w:val="a4"/>
      <w:jc w:val="center"/>
    </w:pPr>
    <w:r>
      <w:fldChar w:fldCharType="begin"/>
    </w:r>
    <w:r w:rsidR="00227FCB">
      <w:instrText xml:space="preserve"> PAGE   \* MERGEFORMAT </w:instrText>
    </w:r>
    <w:r>
      <w:fldChar w:fldCharType="separate"/>
    </w:r>
    <w:r w:rsidR="00414AD5">
      <w:rPr>
        <w:noProof/>
      </w:rPr>
      <w:t>2</w:t>
    </w:r>
    <w:r>
      <w:fldChar w:fldCharType="end"/>
    </w:r>
  </w:p>
  <w:p w:rsidR="0094774D" w:rsidRDefault="001E52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4E" w:rsidRDefault="001E524E" w:rsidP="00C61AAE">
      <w:r>
        <w:separator/>
      </w:r>
    </w:p>
  </w:footnote>
  <w:footnote w:type="continuationSeparator" w:id="0">
    <w:p w:rsidR="001E524E" w:rsidRDefault="001E524E" w:rsidP="00C6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2B4"/>
    <w:multiLevelType w:val="multilevel"/>
    <w:tmpl w:val="76CCDE66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E5F16"/>
    <w:multiLevelType w:val="multilevel"/>
    <w:tmpl w:val="45C044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7AB4EFF"/>
    <w:multiLevelType w:val="multilevel"/>
    <w:tmpl w:val="414442DA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4E6331"/>
    <w:multiLevelType w:val="multilevel"/>
    <w:tmpl w:val="26EEEB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1C664D8"/>
    <w:multiLevelType w:val="multilevel"/>
    <w:tmpl w:val="2FF2A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CB20CB"/>
    <w:multiLevelType w:val="multilevel"/>
    <w:tmpl w:val="39E438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825EF"/>
    <w:multiLevelType w:val="multilevel"/>
    <w:tmpl w:val="8B40AE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256C6"/>
    <w:multiLevelType w:val="multilevel"/>
    <w:tmpl w:val="86F84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75575F"/>
    <w:multiLevelType w:val="multilevel"/>
    <w:tmpl w:val="09CAFE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525"/>
    <w:rsid w:val="00005B91"/>
    <w:rsid w:val="0016737A"/>
    <w:rsid w:val="001D114C"/>
    <w:rsid w:val="001E524E"/>
    <w:rsid w:val="00227FCB"/>
    <w:rsid w:val="002A7D22"/>
    <w:rsid w:val="003A4BD1"/>
    <w:rsid w:val="00414AD5"/>
    <w:rsid w:val="00444525"/>
    <w:rsid w:val="0088156C"/>
    <w:rsid w:val="0088709C"/>
    <w:rsid w:val="00BB024E"/>
    <w:rsid w:val="00C062BD"/>
    <w:rsid w:val="00C61AAE"/>
    <w:rsid w:val="00C92E3A"/>
    <w:rsid w:val="00D4320B"/>
    <w:rsid w:val="00EA3B92"/>
    <w:rsid w:val="00F171A7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14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14C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14C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1D11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 + Не полужирный;Не курсив"/>
    <w:rsid w:val="001D114C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14C"/>
    <w:pPr>
      <w:shd w:val="clear" w:color="auto" w:fill="FFFFFF"/>
      <w:spacing w:before="360" w:line="307" w:lineRule="exact"/>
      <w:ind w:hanging="62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0">
    <w:name w:val="Основной текст (2)"/>
    <w:basedOn w:val="a"/>
    <w:link w:val="2"/>
    <w:rsid w:val="001D114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31">
    <w:name w:val="Body Text 3"/>
    <w:basedOn w:val="a"/>
    <w:link w:val="32"/>
    <w:rsid w:val="001D114C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40"/>
      <w:szCs w:val="40"/>
      <w:lang w:eastAsia="ru-RU"/>
    </w:rPr>
  </w:style>
  <w:style w:type="character" w:customStyle="1" w:styleId="32">
    <w:name w:val="Основний текст 3 Знак"/>
    <w:basedOn w:val="a0"/>
    <w:link w:val="31"/>
    <w:rsid w:val="001D114C"/>
    <w:rPr>
      <w:rFonts w:ascii="Times New Roman" w:eastAsia="Times New Roman" w:hAnsi="Times New Roman" w:cs="Times New Roman"/>
      <w:b/>
      <w:bCs/>
      <w:caps/>
      <w:sz w:val="40"/>
      <w:szCs w:val="40"/>
      <w:lang w:val="uk-UA" w:eastAsia="ru-RU"/>
    </w:rPr>
  </w:style>
  <w:style w:type="paragraph" w:styleId="a4">
    <w:name w:val="footer"/>
    <w:basedOn w:val="a"/>
    <w:link w:val="a5"/>
    <w:uiPriority w:val="99"/>
    <w:unhideWhenUsed/>
    <w:rsid w:val="001D114C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Нижній колонтитул Знак"/>
    <w:basedOn w:val="a0"/>
    <w:link w:val="a4"/>
    <w:uiPriority w:val="99"/>
    <w:rsid w:val="001D114C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D114C"/>
    <w:pPr>
      <w:ind w:left="720"/>
      <w:contextualSpacing/>
    </w:pPr>
  </w:style>
  <w:style w:type="paragraph" w:styleId="a7">
    <w:name w:val="Block Text"/>
    <w:basedOn w:val="a"/>
    <w:semiHidden/>
    <w:rsid w:val="001D114C"/>
    <w:pPr>
      <w:ind w:left="-567" w:right="-567" w:firstLine="567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37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737A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13407</Words>
  <Characters>7642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Tetyana_T</cp:lastModifiedBy>
  <cp:revision>7</cp:revision>
  <cp:lastPrinted>2023-03-22T09:10:00Z</cp:lastPrinted>
  <dcterms:created xsi:type="dcterms:W3CDTF">2023-02-28T14:30:00Z</dcterms:created>
  <dcterms:modified xsi:type="dcterms:W3CDTF">2023-03-24T07:48:00Z</dcterms:modified>
</cp:coreProperties>
</file>