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E" w:rsidRPr="00215D4E" w:rsidRDefault="00215D4E" w:rsidP="00215D4E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215D4E" w:rsidRPr="00215D4E" w:rsidRDefault="00215D4E" w:rsidP="00215D4E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C5AF6" w:rsidRPr="00215D4E" w:rsidRDefault="00215D4E" w:rsidP="00215D4E">
      <w:pPr>
        <w:pStyle w:val="a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15D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Валентина </w:t>
      </w:r>
      <w:proofErr w:type="spellStart"/>
      <w:r w:rsidRPr="00215D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Михалишина</w:t>
      </w:r>
      <w:proofErr w:type="spellEnd"/>
      <w:r w:rsidRPr="00215D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податковий консультант Територіального відділення Асоціації платників податків в Рівненській області</w:t>
      </w:r>
    </w:p>
    <w:p w:rsidR="00DC5AF6" w:rsidRPr="00215D4E" w:rsidRDefault="00DC5AF6" w:rsidP="00215D4E">
      <w:pPr>
        <w:pStyle w:val="a3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РРО –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роз»яснення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від ДПС України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ДПС від 25.01.2021 № 270/ІПК/99-00-07-05-01-06.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Якщо розрахунок за товари здійснюється за допомого QR-коду, який містить в собі реквізити поточного рахунку в форматі IBAN, то операція не буде вважатись розрахунковою операцією.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ДПС від 16.05.2022 № 519/ІПК/99-00-07-05-01-06 11.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відноситься до розрахункових операцій: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здійснення розрахунків за товари через:  установу банку шляхом перерахування коштів з розрахункового рахунку на розрахунковий рахунок (IBAN,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онлайн-банкінг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 • безпосереднє внесення готівки через касу банку для подальшого перерахування на розрахунковий рахунок; • платіжний термінал та/або ПТКС, який належить банку.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ДПС від 14.07.2021 № 2754/ІПК/99-00-07-05-01-06 12.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Якщо ФОП  надає покупцю  для оплати за товар (послугу) реквізити поточного рахунку в форматі IBAN, застосування РРО/ПРРО не є обов’язковим, оскільки така операція є різновидом банківської операції, незалежно від обраного покупцем (споживачем) способу оплати. 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ГУ ДПС у Харківській обл. від 16.03.2023 № 556/ІПК/20-40-07-08-13.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На сайтах деяких платіжних сервісів (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Portmone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EasyPay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iPay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тощо) є можливість оплати рахунку за банківськими реквізитами. Це не є розрахунковою операцією.  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ГУ ДПС у Харківській обл. від 16.03.2023 № 556/ІПК/20-40-07-08-13.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Операція щодо оплати клієнтом за послуги з використанням реквізитів електронного платіжного засобу (у тому числі платіжної картки) ФОП є розрахунковою. Такий підхід суперечить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абз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6 ст. 2 Закону про РРО, в якій йдеться про застосування банківської платіжної картки покупця (!), а не продавця. Отже, щоб не доводити свою правоту в суді, краще прописати  реквізити в IBAN-форматі. Якщо ФОП надає для оплати реквізити поточного рахунку в форматі IBAN та оплата здійснюється через ПТКС, який належить установі банку або іншій небанківській фінансовій установі, то у такому випадку застосування РРО/ПРРО для нього не є обов’язковим, навіть за умови, що ПТКС, які не належать банкам в обов’язковому порядку мають бути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фіскалізовані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ДПС від 11.04.2023 № 882/ІПК/99-00-07-04-01-06 15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Застосування РРО/ПРРО не є обов’язковим у разі продажу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ФОПом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товару виключно на умовах післяплати та доставки таких товарів кур’єрською службою.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ІПК ДПС від 03.05.2023 № 1090/ІПК/99-00-07-04-01-06.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Якщо отримуєте готівку у відділенні кур’єрської служби доставки, за раніше відправлений товар, і споживач через службу доставки перерахував післяплату за придбаний товар, зазначена операція не потребує проведення через РРО [або ПРРО].</w:t>
      </w:r>
    </w:p>
    <w:p w:rsidR="00DC5AF6" w:rsidRPr="00215D4E" w:rsidRDefault="00DC5AF6" w:rsidP="00DC5AF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5AF6" w:rsidRPr="00215D4E" w:rsidRDefault="00DC5AF6" w:rsidP="00DC5AF6">
      <w:pPr>
        <w:pStyle w:val="a3"/>
        <w:jc w:val="both"/>
        <w:rPr>
          <w:rFonts w:eastAsia="Times New Roman"/>
          <w:b/>
          <w:bCs/>
          <w:color w:val="000000" w:themeColor="text1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СУДИ НА БОЦІ ДПС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кожен встановлений контролюючим органом факт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непроведення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розрахункових операцій через реєстратори розрахункових операцій з фіскальним режимом роботи фактично є окремим правопорушенням. При цьому, кваліфікуючою ознакою такого правопорушення є повторність вчинення відповідного діяння, яке встановлюється у разі вчинення особою кількох правопорушень. 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Постанова П’ятого апеляційного адмінсуду від 12.04.2023 у справі № 420/19741/21 42</w:t>
      </w:r>
      <w:r w:rsidRPr="00215D4E">
        <w:rPr>
          <w:rFonts w:eastAsia="Times New Roman"/>
          <w:b/>
          <w:bCs/>
          <w:color w:val="000000" w:themeColor="text1"/>
        </w:rPr>
        <w:t>.</w:t>
      </w:r>
    </w:p>
    <w:p w:rsidR="00424E9B" w:rsidRPr="00215D4E" w:rsidRDefault="00424E9B" w:rsidP="00424E9B">
      <w:pPr>
        <w:pStyle w:val="a3"/>
        <w:ind w:left="4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.Платіжки за новою формою</w:t>
      </w:r>
    </w:p>
    <w:p w:rsidR="00424E9B" w:rsidRPr="00215D4E" w:rsidRDefault="00424E9B" w:rsidP="00424E9B">
      <w:pPr>
        <w:pStyle w:val="a3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4FAE" w:rsidRPr="00215D4E" w:rsidRDefault="00424E9B" w:rsidP="00424E9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П</w:t>
      </w:r>
      <w:r w:rsidR="00554FAE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овний перехід на новий формат платіжок при сплаті податків та ЄСВ перенесено на 1 грудня. Такі рекомендації надав НБУ у своєму </w:t>
      </w:r>
      <w:proofErr w:type="spellStart"/>
      <w:r w:rsidR="00554FAE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розʼясненні</w:t>
      </w:r>
      <w:proofErr w:type="spellEnd"/>
      <w:r w:rsidR="00554FAE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554FAE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егулятор зобов’язує банки забезпечити перехід на використання виключно структурованого призначення платежу під час сплати податків та зборів до 01.12.2023. </w:t>
      </w:r>
      <w:r w:rsidR="00396294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554FAE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фіційної інформації ані від ДПС, ані від Мінфіну не було.</w:t>
      </w:r>
    </w:p>
    <w:p w:rsidR="00554FAE" w:rsidRPr="00215D4E" w:rsidRDefault="00554FAE" w:rsidP="00396294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Позиція ДПСщодо поточних правил заповнення платіжок для сплати податків та ЄСВ.</w:t>
      </w:r>
    </w:p>
    <w:p w:rsidR="00554FAE" w:rsidRPr="00215D4E" w:rsidRDefault="00554FAE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4FAE" w:rsidRPr="00215D4E" w:rsidRDefault="00554FAE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1 липня 2023 року платники під час сплати податкових платежів та єдиного внеску при заповненні реквізиту «Призначення платежу» платіжної інструкції користуються вимогами нового Порядку заповнення реквізиту «Призначення платежу». </w:t>
      </w:r>
    </w:p>
    <w:p w:rsidR="00554FAE" w:rsidRPr="00215D4E" w:rsidRDefault="00396294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Платникам, яким </w:t>
      </w:r>
      <w:r w:rsidR="00554FAE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надавач платіжних послуг не забезпечив розробку програмного забезпечення в частині використання реквізиту «Призначення платежу», збережено можливість використання реквізиту «Призначення платежу» в старому форматі (неструктурованому)</w:t>
      </w:r>
      <w:r w:rsidR="00554FAE"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</w:p>
    <w:p w:rsidR="00554FAE" w:rsidRPr="00215D4E" w:rsidRDefault="00554FAE" w:rsidP="00D7184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 платникам, які під час сплати податкових платежів та єдиного внеску використовують 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структурований формат реквізиту «Призначення платежу» (тобто новий формат), при занесенні даних про «Код виду сплати» та «Додаткову інформацію запису» потрібно використовувати виключно наявні поля платіжної інструкції, а саме поле «Код виду сплати» та поле «Додаткова інформація запису».</w:t>
      </w:r>
    </w:p>
    <w:p w:rsidR="00424E9B" w:rsidRPr="00215D4E" w:rsidRDefault="00424E9B" w:rsidP="00D7184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D1B2B" w:rsidRPr="00215D4E" w:rsidRDefault="00424E9B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256EF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D1B2B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ПДФО</w:t>
      </w:r>
      <w:r w:rsidR="008E2B77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діють </w:t>
      </w:r>
      <w:r w:rsidR="003D1B2B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всі законодавчі норми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щодо оподаткування </w:t>
      </w:r>
      <w:r w:rsidR="00625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доходів у вигляді заробітної плати та інших доходів;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зберігається </w:t>
      </w:r>
      <w:proofErr w:type="spellStart"/>
      <w:r w:rsidR="00625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обов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25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язок</w:t>
      </w:r>
      <w:proofErr w:type="spellEnd"/>
      <w:r w:rsidR="00625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декларування доходів, що не були оподатковані у джерела виплати; право на податкову знижку при поданні декларації до кінця 2023 року. 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</w:t>
      </w:r>
      <w:r w:rsidR="003D1B2B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а результатами 2022 року</w:t>
      </w:r>
      <w:r w:rsidR="003D1B2B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 податкової знижки фізичної особи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 </w:t>
      </w:r>
      <w:r w:rsidR="00625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році  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D1B2B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включаються суми коштів або вартість майна, перерахованих (переданих) нею у вигляді пожертвувань або благодійних внесків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D1B2B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неприбутковим організаціям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 розмірі, що </w:t>
      </w:r>
      <w:r w:rsidR="003D1B2B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перевищує 16 відсотків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суми його загального оподатковуваного доходу такого звітного року.</w:t>
      </w:r>
    </w:p>
    <w:p w:rsidR="00424E9B" w:rsidRPr="00215D4E" w:rsidRDefault="00424E9B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16EF" w:rsidRPr="00215D4E" w:rsidRDefault="00603190" w:rsidP="00D7184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3</w:t>
      </w:r>
      <w:r w:rsidR="006256EF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11DDC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2023 році вперше за 2022 рік </w:t>
      </w:r>
      <w:r w:rsidR="008616EF" w:rsidRPr="00215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визначається мінімальне податкове зобов’язання</w:t>
      </w:r>
      <w:r w:rsidR="00611DDC" w:rsidRPr="00215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616EF" w:rsidRPr="00215D4E" w:rsidRDefault="00611DDC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Платником </w:t>
      </w:r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мінімального податкового зобов’язання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 громадянин України</w:t>
      </w:r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який володіє та/або користується (орендує (</w:t>
      </w:r>
      <w:proofErr w:type="spellStart"/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суборендує</w:t>
      </w:r>
      <w:proofErr w:type="spellEnd"/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на умовах емфітевзису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сільськогосподарськими </w:t>
      </w:r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земельними ділянками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616EF" w:rsidRPr="00215D4E" w:rsidRDefault="008616E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ення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загальн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611DDC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МПЗ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фізичним особам, які не зареєстровані як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здійснюється органами контролю за податковою адресою таких осіб до 1 липня року, наступного за звітним.</w:t>
      </w:r>
    </w:p>
    <w:p w:rsidR="008616EF" w:rsidRPr="00215D4E" w:rsidRDefault="008616E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Тобто перші повідомлення-рішення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фізособи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мають отримати до 1 липня 2023 року.</w:t>
      </w:r>
    </w:p>
    <w:p w:rsidR="008616EF" w:rsidRPr="00215D4E" w:rsidRDefault="008616E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загальної суми сплачених протягом) року податків, зборів, платежів включаються:</w:t>
      </w:r>
    </w:p>
    <w:p w:rsidR="008616EF" w:rsidRPr="00215D4E" w:rsidRDefault="008616E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податок на доходи фізичних осіб та військовий збір з доходів від продажу власної сільськогосподарської продукції;</w:t>
      </w:r>
    </w:p>
    <w:p w:rsidR="008616EF" w:rsidRPr="00215D4E" w:rsidRDefault="008616E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земельний податок за земельні ділянки, віднесені до сільськогосподарських угідь.</w:t>
      </w:r>
    </w:p>
    <w:p w:rsidR="003D1B2B" w:rsidRPr="00215D4E" w:rsidRDefault="00611DDC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І у разі я</w:t>
      </w:r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кщо сума сплачених податків менша за МПЗ, різниц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має бути сплачена</w:t>
      </w:r>
      <w:r w:rsidR="008616EF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Якщо більша – нічого додатково платити не треба.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Якщо ж 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ділянк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передані офіційно </w:t>
      </w:r>
      <w:r w:rsidR="003D1B2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оренду (суборенду), емфітевзис або інше користування мінімальне податкове зобов’язання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сплачують орендарі або інші користувачі.</w:t>
      </w:r>
    </w:p>
    <w:p w:rsidR="008E2B77" w:rsidRPr="00215D4E" w:rsidRDefault="00603190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7D582F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23093"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 5 травня діють зміни до Податкового розрахунку сум доходу, нарахованого (сплаченого) на користь платників податків – фізичних осіб</w:t>
      </w:r>
      <w:r w:rsidR="00623093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623093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Ці зміни в додатках 1, 3, 4-ДФ та 6. 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92C4A"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оновленою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формою Податковий розрахунок роботодавці повинні 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вперше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подати за 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І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ІІ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 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квартал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2023 року,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оскільки оприлюднення цієї нової форми відбулося у 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ІІ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 </w:t>
      </w:r>
      <w:r w:rsidR="00292C4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кварталу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року.</w:t>
      </w:r>
    </w:p>
    <w:p w:rsidR="00292C4A" w:rsidRPr="00215D4E" w:rsidRDefault="008E2B7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Зміни.</w:t>
      </w:r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зв</w:t>
      </w:r>
      <w:proofErr w:type="spellEnd"/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proofErr w:type="spellStart"/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язкуізз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мін</w:t>
      </w:r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ою</w:t>
      </w:r>
      <w:proofErr w:type="spellEnd"/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страховика: «</w:t>
      </w:r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ФСС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замінено</w:t>
      </w:r>
      <w:proofErr w:type="spellEnd"/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текстом «П</w:t>
      </w:r>
      <w:r w:rsidR="00A0339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292C4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У».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заголовноїчастиниПодатковогорозрахунку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підрозділі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09 «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Ознакаплатникаєдиноговнеску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 додано рядок 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095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 «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РезидентДіяСіті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в </w:t>
      </w:r>
      <w:proofErr w:type="spellStart"/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якомую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ридичні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особи,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є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резидентами</w:t>
      </w:r>
      <w:proofErr w:type="gram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Д</w:t>
      </w:r>
      <w:proofErr w:type="gram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іяСіті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маютьставитипозначку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«Х»</w:t>
      </w:r>
      <w:r w:rsidR="008E2B7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таблицідодатка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1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додано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новий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реквізит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(графу) 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26 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«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Ознаканаявності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 трудового договору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нефіксованимробочим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 xml:space="preserve"> часом</w:t>
      </w:r>
      <w:r w:rsidR="005A2D0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A2D0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і</w:t>
      </w:r>
      <w:proofErr w:type="spellEnd"/>
      <w:r w:rsidR="005A2D0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A2D0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тепер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працівниках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з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трудови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догов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ом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нефіксованимробочим</w:t>
      </w:r>
      <w:proofErr w:type="spellEnd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часом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зазначаєтьсяознака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«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1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»,по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решті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працівників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«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0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4ДФ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розділу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ІІ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таблиці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виключено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два рядки, де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відображаласязагальнаінформація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 доходи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від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продажу </w:t>
      </w:r>
      <w:proofErr w:type="spellStart"/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власної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сільськогосподарськоїпродукції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Теперці</w:t>
      </w:r>
      <w:proofErr w:type="spellEnd"/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відобража</w:t>
      </w:r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розділі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І </w:t>
      </w:r>
      <w:proofErr w:type="spellStart"/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персоніфіковано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заознакою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доходу 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179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</w:t>
      </w:r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ож</w:t>
      </w:r>
      <w:proofErr w:type="spellEnd"/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31.12.23 </w:t>
      </w:r>
      <w:proofErr w:type="spellStart"/>
      <w:r w:rsidR="00962759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припинилося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застосуванняознакдоходів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125, 127, 128, 151, 163, 179, 183, 187, 188, 190, 193, а 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 01.01.2023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і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для </w:t>
      </w:r>
      <w:r w:rsidR="005A2D0A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них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запроваджено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нові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норм </w:t>
      </w:r>
      <w:hyperlink r:id="rId5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Зокрема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125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тепервідображаютьсясуми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пенсійнихвнесків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щосплачуютьсяроботодавцем-резидентом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ійрахунок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договорами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недержавного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пенсійногозабезпеченняплатникаподатку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та/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договорами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добровільногомедичного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страхування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 межах 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30 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відсотків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нарахованоїзаробітної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плати такому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працівнику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«в»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164.2.16 </w:t>
      </w:r>
      <w:hyperlink r:id="rId6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127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тепервідображаються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інші доходи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крімзазначених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статті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165 </w:t>
      </w:r>
      <w:hyperlink r:id="rId7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164.2.20 </w:t>
      </w:r>
      <w:hyperlink r:id="rId8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Тобтотеперописцієїознаки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не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містить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текст «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крімсум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грошового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грошовихвинагород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іншихвиплат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одержанихвійськовослужбовцями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особами рядового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начальницького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складу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органіввнутрішніх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справ,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Державноїкримінально-виконавчоїслужбиУкраїни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Державноїслужбиспеціальногозв’язку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захистуінформаціїУкраїни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державноїпожежноїохорони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ідрозділівцивільногозахисту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податковоїміліції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зв’язку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виконаннямобов’язківнесенняслужби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128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тепервідображаютьсяcумадержавної та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соц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іальноїматеріальноїдопомоги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державноїдопомоги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компенсацій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вартістьсоціальнихпослуг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реабілітаційноїдопомоги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включаючигрошовікомпенсації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особам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на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дітей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реалізаціїіндивідуальнихпрограмреабілітаціїосіб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сумидопомоги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вагітності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пологах),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винагород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страховихвиплат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якіотримуєплатникподатку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бюджетів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фондівзагальнообов’язкового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державного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соц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іальногострахування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форміфінансовоїдопомоги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особам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Фонду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соціальногозахистуосіб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інвалідністюзгідноіз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законом, 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такожвартістьсоціальноїдопомоги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 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натуральнійформімалозабезпеченимсім’ям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щоотриманавіднадавачівсоціальнихпослугвідповідно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до Закону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«Про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соціальніпослуги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165.1.1 </w:t>
      </w:r>
      <w:hyperlink r:id="rId9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proofErr w:type="gramEnd"/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151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тепервідображаються сума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страховоївиплати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страхового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відшкодуванняабовикупна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сума,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отриманаплатникомподатку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договором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страхуваннявід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страховика-резидентаабо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страховика-нерезидента,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іншогоніждовгостроковестрахуванняжиття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тому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числістрахуваннядовічнихпенсій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недержавнепенсійнезабезпечення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 сума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страхових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регламентних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виплат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страховихвідшкодувань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щоздійснюютьсяМоторним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транспортним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страховим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бюро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165.1.27 </w:t>
      </w:r>
      <w:hyperlink r:id="rId10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163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тепервідображаютьсясумикоштів,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надані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благодійнимиорганізаціями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громадськимиоб’єднаннями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включеними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Реєструнеприбутковихустанов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організацій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всеукраїнськимигромадськимиоб’єднаннямиосіб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інвалідністю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їхспілкамиплатникамподатку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–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учасникамконгресів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симпозіумів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зборів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конференцій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пленумів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з’їздів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фестивалів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виставок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концертів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реабілітаційнихзаходів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фізкультурно-спортивнихзаходів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конкурс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тренінгів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семінарів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якіпроводяться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такими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організаціями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як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компенсаціявитрат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проживання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харчування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проїзд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місцяпроведеннязаходів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зворотномунапрямку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.З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азначенівитрати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не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включаються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загальногомісячного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річного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оподатковуваного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платникаподатку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 межах норм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відшкодуваннявитрат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відрядження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встановлених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державнихслужбовців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працівників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підприємств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установ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організацій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щоповністюабочастковоутримуються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фінансуються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рахунок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бюджетних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коштів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165.1.42 </w:t>
      </w:r>
      <w:hyperlink r:id="rId11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179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тепервідображаються доходи,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отриманівід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продажу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власноїсільськогосподарськоїпродукції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щовирощена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відгодована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виловлена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зібрана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виготовлена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вироблена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оброблена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та/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абопереробленабезпосередньофізичною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особою на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земельнихділянках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у тому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доходи,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отриманівід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продажу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власноїпродукціїтваринництвагруп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 – 5, 15, 16 та 41 УКТ ЗЕД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165.1.24 </w:t>
      </w:r>
      <w:hyperlink r:id="rId12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proofErr w:type="gramEnd"/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доходу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187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тепервідображається сума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виплаченої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благодійниками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у тому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числіблагодійниками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фізичними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особами,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яківнесені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Реєструволонтерівантитерористичноїоперації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та/абоздійсненнязаходівіззабезпеченнянаціональноїбезпеки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оборони,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відсічі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стримуваннязбройноїагрес</w:t>
      </w:r>
      <w:proofErr w:type="gram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іїР</w:t>
      </w:r>
      <w:proofErr w:type="gram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осійськоїФедерації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в порядку,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визначеному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Законом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благодійнудіяльність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благодійніорганізації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«а»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165.1.54 </w:t>
      </w:r>
      <w:hyperlink r:id="rId13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Довідникознакдоходівтакож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доповненоновими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ознакамидоходів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204 – 209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204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суми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пенсійнихвнесків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щосплачуються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резидентом</w:t>
      </w:r>
      <w:proofErr w:type="spellEnd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ДіяСіті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ійрахунок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договорами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недержавногопенсійногозабезпечення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та/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договорами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добровільногомедичногострахуванняплатникаподатку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гіг-спеціаліста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 межах 30%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нарахованоївинагороди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такому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гіг-спеціалісту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«г»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164.2.16 </w:t>
      </w:r>
      <w:hyperlink r:id="rId14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205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сумиблагодійноїдопомоги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виплаченої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благодійниками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учасникамбойовихдій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та/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абофізичним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особам,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якімешкають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(мешкали) на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територіїнаселенихпунктів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в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якихпроводяться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проводилися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бойовідії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«в»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165.1.54 </w:t>
      </w:r>
      <w:hyperlink r:id="rId15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206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сума доходу,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отриманогоплатникомподатку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вигляді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ідтримки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наданої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Фондом Президента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підтримкиосвіти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науки та спорту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165.1.62 </w:t>
      </w:r>
      <w:hyperlink r:id="rId16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207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сума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винагороди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добровільнопередануЗбройним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Силам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Українипридатну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застосуваннябойовутехнікудержави-агресоравідповідно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Закону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встановленнявинагороди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добровільнопередануЗбройним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Силам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Українипридатну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застосуваннябойовутехнікудержави-агресора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165.1.63 </w:t>
      </w:r>
      <w:hyperlink r:id="rId17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208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сума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коштівабовартість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майна (послуг),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щонадаютьсяфізичнійособі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– волонтеру,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якоюукладенодогові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провадженняволонтерськоїдіяльності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в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частинівитратнеприбутковоїорганізації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щозалучає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своєїдіяльностіволонтерів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на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проведеннямедичногоогляду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вакцинації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волонтера,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іншихлікувально-профілактичнихзаходів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безпосередньопов’язаних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наданнямволонтерськоїдопомогитакою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особою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Закону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волонтерськудіяльність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165.1.64 </w:t>
      </w:r>
      <w:hyperlink r:id="rId18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209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сума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відшкодуваннянеприбутковоюорганізацієюособі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– волонтеру,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якоюукладенодогові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провадженняволонтерськоїдіяльності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документально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підтвердженихвитрат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пов’язаних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наданнямволонтерськоїдопомоги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розмірі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переліку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щопередбаченістаттею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11 Закону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«Про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волонтерськудіяльність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165.1.65 </w:t>
      </w:r>
      <w:hyperlink r:id="rId19" w:anchor="Text" w:history="1">
        <w:r w:rsidRPr="00215D4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ПКУ</w:t>
        </w:r>
      </w:hyperlink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292C4A" w:rsidRPr="00215D4E" w:rsidRDefault="00292C4A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додатку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6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215D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далі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— Д</w:t>
      </w:r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відкоригувалинумераціюрядківзаголовноїчастини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—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оскількипісля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рядка 031 не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було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рядка 032, то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колишні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рядки 033 та 034 стали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рядками 032 та 033.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Такожвидалиливиноску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 13 </w:t>
      </w:r>
      <w:proofErr w:type="spellStart"/>
      <w:proofErr w:type="gram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ід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таблицею,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оскількиїї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було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 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самійтаблиці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15D4E" w:rsidRDefault="00215D4E" w:rsidP="00D71846">
      <w:pPr>
        <w:pStyle w:val="a3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</w:pPr>
    </w:p>
    <w:p w:rsidR="00215D4E" w:rsidRDefault="00215D4E" w:rsidP="00D71846">
      <w:pPr>
        <w:pStyle w:val="a3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</w:pPr>
    </w:p>
    <w:p w:rsidR="007D582F" w:rsidRPr="00215D4E" w:rsidRDefault="00131159" w:rsidP="00D71846">
      <w:pPr>
        <w:pStyle w:val="a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215D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  <w:t xml:space="preserve">Коротко </w:t>
      </w:r>
      <w:proofErr w:type="spellStart"/>
      <w:r w:rsidRPr="00215D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  <w:t>питання-відповідіщодо</w:t>
      </w:r>
      <w:proofErr w:type="spellEnd"/>
      <w:r w:rsidRPr="00215D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  <w:t xml:space="preserve"> ПДФО та </w:t>
      </w:r>
      <w:proofErr w:type="spellStart"/>
      <w:r w:rsidRPr="00215D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  <w:t>форми</w:t>
      </w:r>
      <w:proofErr w:type="spellEnd"/>
      <w:r w:rsidRPr="00215D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val="ru-RU"/>
        </w:rPr>
        <w:t xml:space="preserve"> 4-ДФ</w:t>
      </w:r>
      <w:r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: </w:t>
      </w:r>
    </w:p>
    <w:p w:rsidR="008879C8" w:rsidRPr="00215D4E" w:rsidRDefault="007D582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 </w:t>
      </w:r>
      <w:r w:rsidR="00131159"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доходи</w:t>
      </w:r>
      <w:r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отримані</w:t>
      </w:r>
      <w:r w:rsidR="00131159"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фізособ</w:t>
      </w:r>
      <w:r w:rsidRPr="00215D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ою</w:t>
      </w:r>
      <w:proofErr w:type="spellEnd"/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договорами земельного сервітуту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ться до загального  оподатковуваного доходу та оподаткову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податком на доходи фізичних осіб та військовим збором на загальних </w:t>
      </w:r>
      <w:proofErr w:type="spellStart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підставах</w:t>
      </w:r>
      <w:proofErr w:type="gramStart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65C97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ерерахування</w:t>
      </w:r>
      <w:proofErr w:type="spellEnd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до бюджету податку на доходи фізичних осіб та військового </w:t>
      </w:r>
      <w:proofErr w:type="spellStart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зборуздійснюється</w:t>
      </w:r>
      <w:proofErr w:type="spellEnd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таким податковим агентом за своїм місцезнаходженням.</w:t>
      </w:r>
    </w:p>
    <w:p w:rsidR="008879C8" w:rsidRPr="00215D4E" w:rsidRDefault="007D582F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03190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ількість працівників, які знаходяться у відпустках по вагітності та пологах, по догляду за дітьми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 відпустці без збереження заробітної плати, тощо та по яких у звітному періоді не здійснювалось нараховування (виплата) доходів за ознакою «101» в графі «Працювало за трудовими договорами» додатка 4ДФ до Розрахунку не відображається.</w:t>
      </w:r>
    </w:p>
    <w:p w:rsidR="008879C8" w:rsidRPr="00215D4E" w:rsidRDefault="00665C9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 відокремлений підрозділ юридичної особи не уповноважений нараховувати, податок до бюджету, то  Розрахунок за такий підрозділ подає юридична особа за основним місцем обліку за  кожен із відокремлених підрозділів.</w:t>
      </w:r>
    </w:p>
    <w:p w:rsidR="008879C8" w:rsidRPr="00215D4E" w:rsidRDefault="00665C9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03190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одатковий агент </w:t>
      </w:r>
      <w:r w:rsidR="00C032F4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має права 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виплачувати дохід фізичній особі, у якої відсутня відмітка у паспорті про прав</w:t>
      </w:r>
      <w:r w:rsidR="00C032F4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здійснювати платежі за серією та номером паспорта та довідка про отримання </w:t>
      </w:r>
      <w:r w:rsidR="00C032F4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реєстраційного номера облікової картки платника податків.</w:t>
      </w:r>
      <w:r w:rsidR="00C032F4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Податок на доходи фізичних осіб, нарахований платнику за отриманий дохід, незалежно від виплати такого доходу має бути перерахований 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бюджету не пізніше 30 календарних днів, наступних за місяцем нарахування доходу.</w:t>
      </w:r>
    </w:p>
    <w:p w:rsidR="008879C8" w:rsidRPr="00215D4E" w:rsidRDefault="00665C9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03190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одаткова соціальна пільга застосовується до всієї заробітної плати за місяць, а не до її частини (авансу).</w:t>
      </w:r>
    </w:p>
    <w:p w:rsidR="008879C8" w:rsidRPr="00215D4E" w:rsidRDefault="00665C9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603190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ає право на податкову соціальну пільгу фізична особа, яка </w:t>
      </w:r>
      <w:r w:rsidR="006F74BA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одночасно є пенсіонером</w:t>
      </w: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r w:rsidR="008879C8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отримує заробітну плату</w:t>
      </w:r>
      <w:r w:rsidR="0063321E"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879C8" w:rsidRPr="00215D4E" w:rsidRDefault="00665C97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603190"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ідомості про те, що чоловік (дружина) такого платника податку при одержанні податкової соціальної пільги за місцем роботи не користується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ПСП </w:t>
      </w:r>
      <w:proofErr w:type="spellStart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кратно</w:t>
      </w:r>
      <w:proofErr w:type="spellEnd"/>
      <w:r w:rsidR="008879C8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кількості дітей відображаються у заяві про самостійне обрання місця застосування податкової соціальної пільги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2ADF" w:rsidRPr="00215D4E" w:rsidRDefault="00A32ADF" w:rsidP="0060319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3CA3" w:rsidRPr="00215D4E" w:rsidRDefault="00377623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Законопроєкт</w:t>
      </w:r>
      <w:proofErr w:type="spellEnd"/>
      <w:r w:rsidRPr="0021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8401  поки що не підписаний Президентом , але прийнятий ВРУ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7623" w:rsidRPr="00215D4E" w:rsidRDefault="00B00462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Очікується, що набрання чинності Законом відбудеться з 1 серпня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00462" w:rsidRPr="00215D4E" w:rsidRDefault="00B00462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15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Що відомо наразі про зміни з 1 серпня?</w:t>
      </w:r>
    </w:p>
    <w:p w:rsidR="00B00462" w:rsidRPr="00215D4E" w:rsidRDefault="00B00462" w:rsidP="00D7184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Серед головних змін з 1 серпня, передбачених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законопроєктом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№8401 - скасування спецгрупи ЄП, початок перевірок ДПС, скасування пільг з ЄП та ЄСВ для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також застосування всіх видів штрафів.</w:t>
      </w:r>
    </w:p>
    <w:p w:rsidR="00B00462" w:rsidRPr="00215D4E" w:rsidRDefault="00CC4110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tgtFrame="_blank" w:history="1"/>
      <w:r w:rsidR="00B00462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Спочатку планували скасувати мораторій і для більшості платників податків встановити такі обмеження: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встановити мораторій на проведення: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усіх перевірок </w:t>
      </w:r>
      <w:proofErr w:type="spellStart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ФОПів</w:t>
      </w:r>
      <w:proofErr w:type="spellEnd"/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2 груп (крім тих, що проводяться через припинення господарської діяльності) – до 1 серпня 2024 року;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документальних або фактичних перевірок платників податків або об’єктів, що зареєстровані/розташовані на прифронтових територіях (у тому числі територіях можливих бойових дій);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обмежити проведення у 2023 - 2024 рр. планових перевірок такими виключними умовами: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платник податків здійснює господарську діяльність, пов’язану з виготовленням/реалізацією підакцизної продукції, або є суб’єктом грального бізнесу чи фінансовою установою;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або платник податків відповідає однієї з таких ознак ризику:</w:t>
      </w:r>
    </w:p>
    <w:p w:rsidR="00572FA3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рівень сплати податку на прибуток або ПДВ нижчий на 50 та більше відсотків за рівень сплати податку в середньому за відповідною галуззю;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дебіторська заборгованість перевищує кредиторську більше ніж у 2 рази;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інші операційні витрати перевищують 30 % загальних витрат операційної діяльності;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загальна сума витрат, відображених у податковій декларації про майновий стан і доходи, становить 75% або більше суми загального доходу, задекларованого у такій декларації (за умови, що сума загального річного доходу від підприємництва становить не менше 10 млн грн);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заробітна плата, яка нарахована/виплачена податковим агентом, менша від середньої по регіону у відповідній галузі.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Середні показники для застосування цих критеріїв публікуватимуться на сайті ДПС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Наразі ж,  знову переглянули ці норми й вирішили залишити мораторій для всіх платників, окрім виробників та реалізаторів підакцизної продукції, грального бізнесу СГ, які надають фінансові й платіжні послуги.</w:t>
      </w:r>
      <w:r w:rsidR="00603190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 буде побачимо пізніше. </w:t>
      </w:r>
    </w:p>
    <w:p w:rsidR="00572FA3" w:rsidRPr="00215D4E" w:rsidRDefault="00572FA3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0462" w:rsidRPr="00215D4E" w:rsidRDefault="00B00462" w:rsidP="007F009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Скасовується система 2% єдиного податку, врегульовуються відповідні перехідні положення на інші системи оподаткування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F009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в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регулювання переходу з 2% ЄП:</w:t>
      </w:r>
    </w:p>
    <w:p w:rsidR="00B00462" w:rsidRPr="00215D4E" w:rsidRDefault="00B00462" w:rsidP="00572FA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платник 2% ЄП матиме право подати заяву про відмову від застосування 2% ЄП та вказати, на яку систему оподаткування він бажає перейти;</w:t>
      </w:r>
    </w:p>
    <w:p w:rsidR="00B00462" w:rsidRPr="00215D4E" w:rsidRDefault="00B00462" w:rsidP="00572FA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подання такої заяви, а також</w:t>
      </w:r>
      <w:r w:rsidR="007F009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якщо в заяві не </w:t>
      </w:r>
      <w:r w:rsidR="00603190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буде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вка</w:t>
      </w:r>
      <w:r w:rsidR="00603190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зано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бажану систему, платник 2% ЄП автоматично переводитиметься на систему, на якій перебував до обрання 2% ЄП;</w:t>
      </w:r>
    </w:p>
    <w:p w:rsidR="00B00462" w:rsidRPr="00215D4E" w:rsidRDefault="00B00462" w:rsidP="00572FA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новостворені суб’єкти господарювання, які з дня державної реєстрації обрали 2% ЄП, автоматично вважатимуться платниками ЄП третьої групи зі ставкою 5%;</w:t>
      </w:r>
    </w:p>
    <w:p w:rsidR="00B00462" w:rsidRPr="00215D4E" w:rsidRDefault="00B00462" w:rsidP="00572FA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автоматичн</w:t>
      </w:r>
      <w:r w:rsidR="007F009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будуть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відновлен</w:t>
      </w:r>
      <w:r w:rsidR="007F009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="007F009B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обов’язк</w:t>
      </w:r>
      <w:r w:rsidR="00603190"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платника ПДВ для тих суб’єктів, у кого реєстрацію платником ПДВ було призупинено;</w:t>
      </w:r>
    </w:p>
    <w:p w:rsidR="00B00462" w:rsidRPr="00215D4E" w:rsidRDefault="00B00462" w:rsidP="00572FA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платникам, які у 2023 р. перейшли з 2% ЄП на загальну систему, право перейти повторно у 2023 р. на спрощену систему за своїм вибором шляхом подання заяви. При цьому в разі подання заяви до 01.09.2023 р. такий платник вважатиметься платником ЄП з 01.08.2023 р.</w:t>
      </w:r>
    </w:p>
    <w:p w:rsidR="00B00462" w:rsidRPr="00215D4E" w:rsidRDefault="00B00462" w:rsidP="00DA02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0462" w:rsidRPr="00215D4E" w:rsidRDefault="00B00462" w:rsidP="00572FA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До платників податків на прифронтових територіях (у тому числі на територіях можливих бойових дій) не вживатимуться заходи з погашення податкового боргу.</w:t>
      </w:r>
    </w:p>
    <w:p w:rsidR="009F320F" w:rsidRPr="00215D4E" w:rsidRDefault="009F320F" w:rsidP="00572FA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C6" w:rsidRPr="00215D4E" w:rsidRDefault="00B00462" w:rsidP="00572FA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ФОП-</w:t>
      </w:r>
      <w:r w:rsidR="00603190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єдинщикам</w:t>
      </w:r>
      <w:proofErr w:type="spellEnd"/>
      <w:r w:rsidR="00603190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неплатникам 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ПДВ надається можливість вказувати в розрахункових документах назви товарів (послуг) за спрощеною формою</w:t>
      </w:r>
      <w:r w:rsidR="004830B3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320F" w:rsidRPr="00215D4E" w:rsidRDefault="009F320F" w:rsidP="00572FA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462" w:rsidRPr="00215D4E" w:rsidRDefault="00B00462" w:rsidP="00572FA3">
      <w:pPr>
        <w:pStyle w:val="a3"/>
        <w:jc w:val="both"/>
        <w:rPr>
          <w:color w:val="000000" w:themeColor="text1"/>
        </w:rPr>
      </w:pP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«Технічний борг»</w:t>
      </w:r>
      <w:r w:rsidR="00424E9B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який виник із 1 квітня 2022 року по 31 липня 2023 року)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кабінеті не враховуватиметься під час визначення можливості платника продовжувати перебування на спрощеній системі</w:t>
      </w:r>
      <w:r w:rsidRPr="00215D4E">
        <w:rPr>
          <w:color w:val="000000" w:themeColor="text1"/>
        </w:rPr>
        <w:t>.</w:t>
      </w:r>
    </w:p>
    <w:p w:rsidR="009F320F" w:rsidRPr="00215D4E" w:rsidRDefault="009F320F" w:rsidP="00572FA3">
      <w:pPr>
        <w:pStyle w:val="a3"/>
        <w:jc w:val="both"/>
        <w:rPr>
          <w:color w:val="000000" w:themeColor="text1"/>
        </w:rPr>
      </w:pPr>
    </w:p>
    <w:p w:rsidR="00B00462" w:rsidRPr="00215D4E" w:rsidRDefault="00424E9B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00462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берегти право добровільної сплати ЄП і ЄСВ для прифронтових територій (у тому числі територій можливих бойових дій)</w:t>
      </w:r>
      <w:r w:rsidR="009F320F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320F" w:rsidRPr="00215D4E" w:rsidRDefault="009F320F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20F" w:rsidRPr="00215D4E" w:rsidRDefault="00424E9B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У період з 1 серпня 2023 р. і до кінця воєнного стану встановлюється мораторій на проведення документальних перевірок з питань сплати ЄСВ.</w:t>
      </w:r>
      <w:r w:rsidR="009F320F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0462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кінця воєнного стану в разі, </w:t>
      </w:r>
      <w:r w:rsidR="00B00462" w:rsidRPr="00215D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якщо платник сплатить донараховану за результатом перевірки суму податків чи ЄСВ протягом 30 днів</w:t>
      </w:r>
      <w:r w:rsidR="00B00462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він звільняється від штрафів і пені, нарахованих на таку суму</w:t>
      </w:r>
      <w:r w:rsidR="009F320F"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4E9B" w:rsidRPr="00215D4E" w:rsidRDefault="00424E9B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E9B" w:rsidRPr="00215D4E" w:rsidRDefault="00424E9B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Платники податків 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звільняються від відповідальності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порушення в сфері застосування РРО, вчинені у період з 1 січня 2022 року до 1 жовтня 2023 року, а також за порушення в сфері сплати ЄСВ, вчинені з початку воєнного стану й до 1 серпня 2023 р.</w:t>
      </w:r>
    </w:p>
    <w:p w:rsidR="009F320F" w:rsidRPr="00215D4E" w:rsidRDefault="009F320F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462" w:rsidRPr="00215D4E" w:rsidRDefault="00B00462" w:rsidP="009F32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Водночас, встановлюється 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зменшений розмір штрафних санкцій</w:t>
      </w:r>
      <w:r w:rsidRPr="0021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(25% та 50% вартості товару замість 100% і 150% відповідно) за незастосування РРО/ПРРО, невидачу розрахункового документу або видачу розрахункового документа на неповну суму покупки, (до закінчення воєнного стану, але не довше ніж до 1 серпня 2025 року).</w:t>
      </w:r>
    </w:p>
    <w:p w:rsidR="009F320F" w:rsidRPr="00215D4E" w:rsidRDefault="009F320F" w:rsidP="00424E9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320F" w:rsidRPr="00215D4E" w:rsidSect="00377623">
      <w:pgSz w:w="11906" w:h="16838"/>
      <w:pgMar w:top="426" w:right="991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77"/>
    <w:multiLevelType w:val="multilevel"/>
    <w:tmpl w:val="7A3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F0D"/>
    <w:multiLevelType w:val="multilevel"/>
    <w:tmpl w:val="E4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F2D87"/>
    <w:multiLevelType w:val="multilevel"/>
    <w:tmpl w:val="854A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7797D"/>
    <w:multiLevelType w:val="multilevel"/>
    <w:tmpl w:val="E6E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423A"/>
    <w:multiLevelType w:val="multilevel"/>
    <w:tmpl w:val="D15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47BB2"/>
    <w:multiLevelType w:val="multilevel"/>
    <w:tmpl w:val="5E8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33729"/>
    <w:multiLevelType w:val="multilevel"/>
    <w:tmpl w:val="D81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C456E"/>
    <w:multiLevelType w:val="multilevel"/>
    <w:tmpl w:val="866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232E8"/>
    <w:multiLevelType w:val="multilevel"/>
    <w:tmpl w:val="79B2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714"/>
    <w:multiLevelType w:val="hybridMultilevel"/>
    <w:tmpl w:val="7EBC9454"/>
    <w:lvl w:ilvl="0" w:tplc="57CCA67C">
      <w:start w:val="26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3D0C3A51"/>
    <w:multiLevelType w:val="multilevel"/>
    <w:tmpl w:val="E93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34120"/>
    <w:multiLevelType w:val="hybridMultilevel"/>
    <w:tmpl w:val="ECD4454A"/>
    <w:lvl w:ilvl="0" w:tplc="08E2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C3313C3"/>
    <w:multiLevelType w:val="multilevel"/>
    <w:tmpl w:val="829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C7B11"/>
    <w:multiLevelType w:val="multilevel"/>
    <w:tmpl w:val="3D6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3715E"/>
    <w:multiLevelType w:val="multilevel"/>
    <w:tmpl w:val="DCE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53938"/>
    <w:multiLevelType w:val="multilevel"/>
    <w:tmpl w:val="AC2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40E56"/>
    <w:multiLevelType w:val="multilevel"/>
    <w:tmpl w:val="6A1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B6008"/>
    <w:multiLevelType w:val="multilevel"/>
    <w:tmpl w:val="B91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85E95"/>
    <w:multiLevelType w:val="multilevel"/>
    <w:tmpl w:val="765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F2BD7"/>
    <w:multiLevelType w:val="multilevel"/>
    <w:tmpl w:val="105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004A9"/>
    <w:multiLevelType w:val="multilevel"/>
    <w:tmpl w:val="F89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07286"/>
    <w:multiLevelType w:val="multilevel"/>
    <w:tmpl w:val="802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0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5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5D7"/>
    <w:rsid w:val="0002612A"/>
    <w:rsid w:val="000A3F35"/>
    <w:rsid w:val="0011244F"/>
    <w:rsid w:val="00117C3C"/>
    <w:rsid w:val="00131159"/>
    <w:rsid w:val="00136CCD"/>
    <w:rsid w:val="00170955"/>
    <w:rsid w:val="001C2D09"/>
    <w:rsid w:val="001C53B8"/>
    <w:rsid w:val="001F0DFE"/>
    <w:rsid w:val="00215D4E"/>
    <w:rsid w:val="00266260"/>
    <w:rsid w:val="0027751F"/>
    <w:rsid w:val="00290548"/>
    <w:rsid w:val="00292C4A"/>
    <w:rsid w:val="002944B4"/>
    <w:rsid w:val="002A759B"/>
    <w:rsid w:val="002C642C"/>
    <w:rsid w:val="002D4035"/>
    <w:rsid w:val="002E1B4D"/>
    <w:rsid w:val="002E6574"/>
    <w:rsid w:val="002E78DA"/>
    <w:rsid w:val="0031075C"/>
    <w:rsid w:val="003165D7"/>
    <w:rsid w:val="00320524"/>
    <w:rsid w:val="00377623"/>
    <w:rsid w:val="00396294"/>
    <w:rsid w:val="003B549C"/>
    <w:rsid w:val="003C251A"/>
    <w:rsid w:val="003D1B2B"/>
    <w:rsid w:val="0040459C"/>
    <w:rsid w:val="00424E9B"/>
    <w:rsid w:val="004325D7"/>
    <w:rsid w:val="0044130B"/>
    <w:rsid w:val="0047724F"/>
    <w:rsid w:val="00482125"/>
    <w:rsid w:val="004830B3"/>
    <w:rsid w:val="00492882"/>
    <w:rsid w:val="004C7F14"/>
    <w:rsid w:val="004D36D3"/>
    <w:rsid w:val="004E5815"/>
    <w:rsid w:val="004E7275"/>
    <w:rsid w:val="0050664E"/>
    <w:rsid w:val="00506E14"/>
    <w:rsid w:val="00523052"/>
    <w:rsid w:val="00554FAE"/>
    <w:rsid w:val="00564611"/>
    <w:rsid w:val="00571FCD"/>
    <w:rsid w:val="00572FA3"/>
    <w:rsid w:val="00584A4F"/>
    <w:rsid w:val="00584E75"/>
    <w:rsid w:val="005A2D0A"/>
    <w:rsid w:val="00603190"/>
    <w:rsid w:val="00606B04"/>
    <w:rsid w:val="00611DDC"/>
    <w:rsid w:val="00621D5F"/>
    <w:rsid w:val="00623093"/>
    <w:rsid w:val="006256EF"/>
    <w:rsid w:val="0063321E"/>
    <w:rsid w:val="00665C97"/>
    <w:rsid w:val="00672635"/>
    <w:rsid w:val="00686038"/>
    <w:rsid w:val="00690E7C"/>
    <w:rsid w:val="00692CA9"/>
    <w:rsid w:val="006C4A18"/>
    <w:rsid w:val="006F0305"/>
    <w:rsid w:val="006F74BA"/>
    <w:rsid w:val="00701AE7"/>
    <w:rsid w:val="0070261A"/>
    <w:rsid w:val="00704179"/>
    <w:rsid w:val="00733054"/>
    <w:rsid w:val="007435C6"/>
    <w:rsid w:val="007456A6"/>
    <w:rsid w:val="00753A65"/>
    <w:rsid w:val="007561AD"/>
    <w:rsid w:val="007B40B9"/>
    <w:rsid w:val="007C4E4C"/>
    <w:rsid w:val="007D582F"/>
    <w:rsid w:val="007E75C3"/>
    <w:rsid w:val="007F009B"/>
    <w:rsid w:val="007F68FA"/>
    <w:rsid w:val="007F7486"/>
    <w:rsid w:val="00802B25"/>
    <w:rsid w:val="0080717B"/>
    <w:rsid w:val="00807874"/>
    <w:rsid w:val="00813468"/>
    <w:rsid w:val="00824C7A"/>
    <w:rsid w:val="00827EFC"/>
    <w:rsid w:val="008616EF"/>
    <w:rsid w:val="00881496"/>
    <w:rsid w:val="00882E57"/>
    <w:rsid w:val="008879C8"/>
    <w:rsid w:val="00891F1D"/>
    <w:rsid w:val="008C2604"/>
    <w:rsid w:val="008D3B03"/>
    <w:rsid w:val="008E2B77"/>
    <w:rsid w:val="008F460F"/>
    <w:rsid w:val="009032CE"/>
    <w:rsid w:val="00923295"/>
    <w:rsid w:val="00953CB6"/>
    <w:rsid w:val="0095545A"/>
    <w:rsid w:val="00962759"/>
    <w:rsid w:val="009943CD"/>
    <w:rsid w:val="00997B36"/>
    <w:rsid w:val="009F320F"/>
    <w:rsid w:val="00A03398"/>
    <w:rsid w:val="00A127DA"/>
    <w:rsid w:val="00A32ADF"/>
    <w:rsid w:val="00AA6D3A"/>
    <w:rsid w:val="00AD29FC"/>
    <w:rsid w:val="00B00462"/>
    <w:rsid w:val="00B04B59"/>
    <w:rsid w:val="00B04F0A"/>
    <w:rsid w:val="00B115D2"/>
    <w:rsid w:val="00B571FC"/>
    <w:rsid w:val="00B863FF"/>
    <w:rsid w:val="00BB37F1"/>
    <w:rsid w:val="00C032F4"/>
    <w:rsid w:val="00C449BE"/>
    <w:rsid w:val="00C574F4"/>
    <w:rsid w:val="00C72100"/>
    <w:rsid w:val="00C83463"/>
    <w:rsid w:val="00CC4110"/>
    <w:rsid w:val="00CD398E"/>
    <w:rsid w:val="00CE4F9E"/>
    <w:rsid w:val="00D208D6"/>
    <w:rsid w:val="00D2574C"/>
    <w:rsid w:val="00D4334C"/>
    <w:rsid w:val="00D63371"/>
    <w:rsid w:val="00D71846"/>
    <w:rsid w:val="00DA027A"/>
    <w:rsid w:val="00DB41FE"/>
    <w:rsid w:val="00DC5AF6"/>
    <w:rsid w:val="00E3237B"/>
    <w:rsid w:val="00E61C9F"/>
    <w:rsid w:val="00E9568F"/>
    <w:rsid w:val="00EC5E46"/>
    <w:rsid w:val="00ED7D30"/>
    <w:rsid w:val="00EE2F58"/>
    <w:rsid w:val="00EE316E"/>
    <w:rsid w:val="00F0305C"/>
    <w:rsid w:val="00F05FD9"/>
    <w:rsid w:val="00F50359"/>
    <w:rsid w:val="00F572EA"/>
    <w:rsid w:val="00F93CA3"/>
    <w:rsid w:val="00FA384D"/>
    <w:rsid w:val="00FE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0"/>
  </w:style>
  <w:style w:type="paragraph" w:styleId="1">
    <w:name w:val="heading 1"/>
    <w:basedOn w:val="a"/>
    <w:next w:val="a"/>
    <w:link w:val="10"/>
    <w:uiPriority w:val="9"/>
    <w:qFormat/>
    <w:rsid w:val="0081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15"/>
    <w:pPr>
      <w:spacing w:after="0" w:line="240" w:lineRule="auto"/>
    </w:pPr>
  </w:style>
  <w:style w:type="table" w:styleId="a4">
    <w:name w:val="Table Grid"/>
    <w:basedOn w:val="a1"/>
    <w:uiPriority w:val="59"/>
    <w:rsid w:val="00F5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F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263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E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872">
              <w:marLeft w:val="15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7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s://t.me/getmantsevdanil/49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s://zakon.rada.gov.ua/laws/show/2755-17" TargetMode="External"/><Relationship Id="rId15" Type="http://schemas.openxmlformats.org/officeDocument/2006/relationships/hyperlink" Target="https://zakon.rada.gov.ua/laws/show/2755-1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2755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6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Svitlana</cp:lastModifiedBy>
  <cp:revision>53</cp:revision>
  <dcterms:created xsi:type="dcterms:W3CDTF">2023-07-03T08:18:00Z</dcterms:created>
  <dcterms:modified xsi:type="dcterms:W3CDTF">2023-07-13T08:19:00Z</dcterms:modified>
</cp:coreProperties>
</file>