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0B36AC" w:rsidRDefault="00DA4C0E" w:rsidP="00DA4C0E">
      <w:pPr>
        <w:tabs>
          <w:tab w:val="num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b/>
          <w:sz w:val="28"/>
          <w:szCs w:val="28"/>
          <w:lang w:val="uk-UA"/>
        </w:rPr>
        <w:t>Шановні декларанти!</w:t>
      </w:r>
    </w:p>
    <w:p w:rsidR="00DA4C0E" w:rsidRPr="000B36AC" w:rsidRDefault="00DA4C0E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sz w:val="28"/>
          <w:szCs w:val="28"/>
          <w:lang w:val="uk-UA"/>
        </w:rPr>
        <w:tab/>
        <w:t>Звертаємо Вашу увагу на те, що з 1 січня 2022 року стартувала кампанія декларування 2022 року.</w:t>
      </w:r>
    </w:p>
    <w:p w:rsidR="00576187" w:rsidRPr="000B36AC" w:rsidRDefault="00576187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sz w:val="28"/>
          <w:szCs w:val="28"/>
          <w:lang w:val="uk-UA"/>
        </w:rPr>
        <w:tab/>
        <w:t>Деклараційна кампанія триватиме 3 місяці впродовж січня-березня включно. Останнім днем подання декларації особи, уповноваженої на виконання функцій держави або місцевого самоврядування (далі – декларація) буде 31 березня 2022 року.</w:t>
      </w:r>
    </w:p>
    <w:p w:rsidR="00576187" w:rsidRPr="000B36AC" w:rsidRDefault="00576187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того, щоби вам було максимально </w:t>
      </w:r>
      <w:proofErr w:type="spellStart"/>
      <w:r w:rsidRPr="000B36AC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0B36AC"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черговий етап декларування 2022 року Національне агентство з питань запобігання корупції (НАЗК) підготувало оновлену редакцію роз’яснень, що охоплює понад 200 найпоширеніших питань.</w:t>
      </w:r>
    </w:p>
    <w:p w:rsidR="00576187" w:rsidRPr="000B36AC" w:rsidRDefault="00725443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6187" w:rsidRPr="000B36AC">
        <w:rPr>
          <w:rFonts w:ascii="Times New Roman" w:hAnsi="Times New Roman" w:cs="Times New Roman"/>
          <w:sz w:val="28"/>
          <w:szCs w:val="28"/>
          <w:lang w:val="uk-UA"/>
        </w:rPr>
        <w:t xml:space="preserve">У роз’ясненнях можна знайти відповіді як на традиційні питання про те, як правильно декларувати спадщину, так і на ті, які почали виникати в декларантів лише минулого року: наприклад, </w:t>
      </w:r>
      <w:hyperlink r:id="rId5" w:anchor="post4549" w:history="1">
        <w:r w:rsidR="00576187" w:rsidRPr="000B36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чи потрібно декларувати «</w:t>
        </w:r>
        <w:proofErr w:type="spellStart"/>
        <w:r w:rsidR="00576187" w:rsidRPr="000B36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ковідну</w:t>
        </w:r>
        <w:proofErr w:type="spellEnd"/>
        <w:r w:rsidR="00576187" w:rsidRPr="000B36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тисячу».</w:t>
        </w:r>
      </w:hyperlink>
    </w:p>
    <w:p w:rsidR="00576187" w:rsidRPr="000B36AC" w:rsidRDefault="00725443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6187" w:rsidRPr="000B36AC">
        <w:rPr>
          <w:rFonts w:ascii="Times New Roman" w:hAnsi="Times New Roman" w:cs="Times New Roman"/>
          <w:sz w:val="28"/>
          <w:szCs w:val="28"/>
          <w:lang w:val="uk-UA"/>
        </w:rPr>
        <w:t xml:space="preserve">З роз’ясненнями можна ознайомитися в Базі знань НАЗК за </w:t>
      </w:r>
      <w:hyperlink r:id="rId6" w:history="1">
        <w:r w:rsidR="00576187" w:rsidRPr="000B36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посиланням</w:t>
        </w:r>
      </w:hyperlink>
      <w:r w:rsidR="00576187" w:rsidRPr="000B36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187" w:rsidRPr="000B36AC" w:rsidRDefault="00576187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0B3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AC">
        <w:rPr>
          <w:rFonts w:ascii="Times New Roman" w:hAnsi="Times New Roman" w:cs="Times New Roman"/>
          <w:b/>
          <w:sz w:val="28"/>
          <w:szCs w:val="28"/>
        </w:rPr>
        <w:t xml:space="preserve">Де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шукати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, яку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вказати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>?</w:t>
      </w: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ваша перша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деклараці</w:t>
      </w:r>
      <w:proofErr w:type="gram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ви</w:t>
      </w:r>
      <w:proofErr w:type="spellEnd"/>
      <w:proofErr w:type="gram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думаєте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її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подання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потрібно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збирати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купу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довідок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стояти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>чергах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  <w:u w:val="single"/>
        </w:rPr>
        <w:t xml:space="preserve">?  </w:t>
      </w: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реєстрах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 на порталах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6AC">
        <w:rPr>
          <w:rFonts w:ascii="Segoe UI Symbol" w:hAnsi="Segoe UI Symbol" w:cs="Segoe UI Symbol"/>
          <w:b/>
          <w:color w:val="FF0000"/>
          <w:sz w:val="28"/>
          <w:szCs w:val="28"/>
        </w:rPr>
        <w:t>🏠</w:t>
      </w:r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виходячи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дому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можете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скористатися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такими</w:t>
      </w:r>
      <w:proofErr w:type="gram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вебсайтами: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r w:rsidRPr="000B36AC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Децентралізація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https://atu.decentralization.gov.ua/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адресні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блоки;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https://cabinet.tax.gov.ua/?fbclid=IwAR3vlekXE7RfK9pFOHn1r2e7XZalSZAVajiZifuNq9I16kHB1pEys8VPYvE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доходи;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lastRenderedPageBreak/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https://kap.minjust.gov.ua/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8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права» та 9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бенефіціарним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(контролером)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https://e-driver.hsc.gov.ua/accounts/login/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6 «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інне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r w:rsidRPr="000B36AC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https://bit.ly/3qfB2jv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нараховану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плату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https://kap.minjust.gov.ua/services?product_id=1&amp;is_registry=1&amp;is_registry_ch=-1&amp;is_free_ch=-1&amp;keywords=&amp;usertype=all&amp;without_login=-1&amp;is_free=-1&amp;fbclid=IwAR0wrjCRQ6zDuq1iWumkgEfHO5vXMAp5a1Eo6HOJotvcUZKIOWfaIl4_I9g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» та 4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https://e.land.gov.ua/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» та 4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https://ukrpatent.org/uk/articles/bases2?fbclid=IwAR327-fX5fyL5_TLvOWH6nJQ1CknZwqihLF_JAyC_yA_vDeja6ErevyVKKA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патентів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10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r w:rsidRPr="000B36AC">
        <w:rPr>
          <w:rFonts w:ascii="Times New Roman" w:hAnsi="Times New Roman" w:cs="Times New Roman"/>
          <w:sz w:val="28"/>
          <w:szCs w:val="28"/>
        </w:rPr>
        <w:t xml:space="preserve">Агентство з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фондового ринку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https://cabinet.smida.gov.ua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/) –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номінальну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7 «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інні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A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Зверніть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proofErr w:type="gramStart"/>
      <w:r w:rsidRPr="000B36A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B36AC">
        <w:rPr>
          <w:rFonts w:ascii="Times New Roman" w:hAnsi="Times New Roman" w:cs="Times New Roman"/>
          <w:b/>
          <w:sz w:val="28"/>
          <w:szCs w:val="28"/>
        </w:rPr>
        <w:t>іститься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реєстрах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неповною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періодично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оновлюватися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r w:rsidRPr="000B36AC">
        <w:rPr>
          <w:rFonts w:ascii="Times New Roman" w:hAnsi="Times New Roman" w:cs="Times New Roman"/>
          <w:b/>
          <w:sz w:val="28"/>
          <w:szCs w:val="28"/>
        </w:rPr>
        <w:t xml:space="preserve">до 31 </w:t>
      </w:r>
      <w:proofErr w:type="spellStart"/>
      <w:r w:rsidRPr="000B36AC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0B36AC">
        <w:rPr>
          <w:rFonts w:ascii="Times New Roman" w:hAnsi="Times New Roman" w:cs="Times New Roman"/>
          <w:b/>
          <w:sz w:val="28"/>
          <w:szCs w:val="28"/>
        </w:rPr>
        <w:t xml:space="preserve"> 2022 року.</w:t>
      </w:r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вас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залишилися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питання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щодо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подання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Отримайте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📒</w:t>
      </w:r>
      <w:r w:rsidRPr="000B36AC">
        <w:rPr>
          <w:rFonts w:ascii="Times New Roman" w:hAnsi="Times New Roman" w:cs="Times New Roman"/>
          <w:sz w:val="28"/>
          <w:szCs w:val="28"/>
        </w:rPr>
        <w:t xml:space="preserve">онлайн 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НАЗК: </w:t>
      </w:r>
      <w:hyperlink r:id="rId16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https://wiki.nazk.gov.ua/category/deklaruvannya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ібника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B36AC">
          <w:rPr>
            <w:rStyle w:val="a3"/>
            <w:rFonts w:ascii="Times New Roman" w:hAnsi="Times New Roman" w:cs="Times New Roman"/>
            <w:sz w:val="28"/>
            <w:szCs w:val="28"/>
          </w:rPr>
          <w:t>https://wiki.nazk.gov.ua/wp-content/uploads/2022/01/Rozyasnennya_-2022.pdf</w:t>
        </w:r>
      </w:hyperlink>
      <w:r w:rsidRPr="000B3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lastRenderedPageBreak/>
        <w:t>👩</w:t>
      </w:r>
      <w:r w:rsidRPr="000B36AC">
        <w:rPr>
          <w:rFonts w:ascii="Times New Roman" w:hAnsi="Times New Roman" w:cs="Times New Roman"/>
          <w:sz w:val="28"/>
          <w:szCs w:val="28"/>
        </w:rPr>
        <w:t>‍</w:t>
      </w:r>
      <w:r w:rsidRPr="000B36AC">
        <w:rPr>
          <w:rFonts w:ascii="Segoe UI Symbol" w:hAnsi="Segoe UI Symbol" w:cs="Segoe UI Symbol"/>
          <w:sz w:val="28"/>
          <w:szCs w:val="28"/>
        </w:rPr>
        <w:t>💻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антикорупційним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Рівненській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ХОРОНЖАК, тел. 695284, адреса: 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322;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MS Gothic" w:eastAsia="MS Gothic" w:hAnsi="MS Gothic" w:cs="MS Gothic" w:hint="eastAsia"/>
          <w:sz w:val="28"/>
          <w:szCs w:val="28"/>
        </w:rPr>
        <w:t>☎</w:t>
      </w:r>
      <w:r w:rsidRPr="000B36AC">
        <w:rPr>
          <w:rFonts w:ascii="Times New Roman" w:hAnsi="Times New Roman" w:cs="Times New Roman"/>
          <w:sz w:val="28"/>
          <w:szCs w:val="28"/>
        </w:rPr>
        <w:t xml:space="preserve">️за телефоном 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>Контакт-центру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НАЗК: +38(044) 200–06–94;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05A53470" wp14:editId="2DD96BB4">
            <wp:simplePos x="0" y="0"/>
            <wp:positionH relativeFrom="column">
              <wp:posOffset>132715</wp:posOffset>
            </wp:positionH>
            <wp:positionV relativeFrom="paragraph">
              <wp:posOffset>252730</wp:posOffset>
            </wp:positionV>
            <wp:extent cx="27508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AC">
        <w:rPr>
          <w:rFonts w:ascii="Segoe UI Symbol" w:hAnsi="Segoe UI Symbol" w:cs="Segoe UI Symbol"/>
          <w:sz w:val="28"/>
          <w:szCs w:val="28"/>
        </w:rPr>
        <w:t>📧</w:t>
      </w:r>
      <w:r w:rsidRPr="000B36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support@nazk.gov.ua;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Важливо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пам’ятати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Необхідно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вказати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належне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та членам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вашої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сім’ї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майно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proofErr w:type="gram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праві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власності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володіння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та/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користування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), а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також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його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вартість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Якщо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така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вказана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НАЗК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може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виявити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завдяки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</w:t>
      </w:r>
      <w:proofErr w:type="gram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Т-</w:t>
      </w:r>
      <w:proofErr w:type="spellStart"/>
      <w:proofErr w:type="gram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інструментам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після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чого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розпочати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перевірку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вашої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36AC" w:rsidRPr="000B36AC" w:rsidRDefault="000B36AC" w:rsidP="00DA4C0E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6AC" w:rsidRPr="000B36AC" w:rsidRDefault="000B36AC" w:rsidP="000B36A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Де та як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потрібно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зазначати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інформацію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закордонний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паспорт у </w:t>
      </w:r>
      <w:proofErr w:type="spellStart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0905A904" wp14:editId="3931C303">
            <wp:simplePos x="0" y="0"/>
            <wp:positionH relativeFrom="column">
              <wp:posOffset>-73660</wp:posOffset>
            </wp:positionH>
            <wp:positionV relativeFrom="paragraph">
              <wp:posOffset>144145</wp:posOffset>
            </wp:positionV>
            <wp:extent cx="3625215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452" y="21391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👉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2021 року,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вас не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виникало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заповненням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блоку НАЗК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ідготувало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правила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.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Times New Roman" w:hAnsi="Times New Roman" w:cs="Times New Roman"/>
          <w:sz w:val="28"/>
          <w:szCs w:val="28"/>
        </w:rPr>
        <w:t xml:space="preserve">У блоках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латиницею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AC">
        <w:rPr>
          <w:rFonts w:ascii="MS Gothic" w:eastAsia="MS Gothic" w:hAnsi="MS Gothic" w:cs="MS Gothic" w:hint="eastAsia"/>
          <w:sz w:val="28"/>
          <w:szCs w:val="28"/>
        </w:rPr>
        <w:t>☝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вас та/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члена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закордонний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паспорт будь-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документ, за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 кордоном (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карта поляка, паспорт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 –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поле «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номер»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такого номеру,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присвоєний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державою (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бути номер страхового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полісу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PESEL,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 та не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стосунку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(РНОКПП),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присвоєного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📄</w:t>
      </w:r>
      <w:r w:rsidRPr="000B36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документах,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) латиницею?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r w:rsidRPr="000B36AC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 кордон;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дипломатичний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службовий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особи моряка;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екіпажу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lastRenderedPageBreak/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особи без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 кордон;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мігранта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біженця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проїзний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6AC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іженця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проїзний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документ особи,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;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.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6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позначка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«У мене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ідданство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ідтвердити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підданства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права є,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полях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.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в декларанта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латиницею </w:t>
      </w:r>
      <w:proofErr w:type="spellStart"/>
      <w:proofErr w:type="gramStart"/>
      <w:r w:rsidRPr="000B36A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:rsidR="000B36AC" w:rsidRPr="000B36AC" w:rsidRDefault="000B36AC" w:rsidP="000B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6AC" w:rsidRPr="000B36AC" w:rsidRDefault="000B36AC" w:rsidP="000B3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підданства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запроваджено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proofErr w:type="gramStart"/>
      <w:r w:rsidRPr="000B36A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B36AC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й оборони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26.02.2021 «Про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загрозам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A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0B36AC">
        <w:rPr>
          <w:rFonts w:ascii="Times New Roman" w:hAnsi="Times New Roman" w:cs="Times New Roman"/>
          <w:sz w:val="28"/>
          <w:szCs w:val="28"/>
        </w:rPr>
        <w:t>».</w:t>
      </w:r>
    </w:p>
    <w:p w:rsidR="00CC3C1B" w:rsidRPr="000B36AC" w:rsidRDefault="00CC3C1B">
      <w:pPr>
        <w:rPr>
          <w:rFonts w:ascii="Times New Roman" w:hAnsi="Times New Roman" w:cs="Times New Roman"/>
          <w:sz w:val="28"/>
          <w:szCs w:val="28"/>
        </w:rPr>
      </w:pPr>
    </w:p>
    <w:sectPr w:rsidR="00CC3C1B" w:rsidRPr="000B36AC" w:rsidSect="000B36A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B"/>
    <w:rsid w:val="000B36AC"/>
    <w:rsid w:val="00441EAB"/>
    <w:rsid w:val="00576187"/>
    <w:rsid w:val="00725443"/>
    <w:rsid w:val="00A36984"/>
    <w:rsid w:val="00CC3C1B"/>
    <w:rsid w:val="00D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0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0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/?fbclid=IwAR3vlekXE7RfK9pFOHn1r2e7XZalSZAVajiZifuNq9I16kHB1pEys8VPYvE" TargetMode="External"/><Relationship Id="rId13" Type="http://schemas.openxmlformats.org/officeDocument/2006/relationships/hyperlink" Target="https://e.land.gov.ua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3HVmpIa" TargetMode="External"/><Relationship Id="rId12" Type="http://schemas.openxmlformats.org/officeDocument/2006/relationships/hyperlink" Target="https://kap.minjust.gov.ua/services?product_id=1&amp;is_registry=1&amp;is_registry_ch=-1&amp;is_free_ch=-1&amp;keywords=&amp;usertype=all&amp;without_login=-1&amp;is_free=-1&amp;fbclid=IwAR0wrjCRQ6zDuq1iWumkgEfHO5vXMAp5a1Eo6HOJotvcUZKIOWfaIl4_I9g" TargetMode="External"/><Relationship Id="rId17" Type="http://schemas.openxmlformats.org/officeDocument/2006/relationships/hyperlink" Target="https://wiki.nazk.gov.ua/wp-content/uploads/2022/01/Rozyasnennya_-202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iki.nazk.gov.ua/category/deklaruvann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iki.nazk.gov.ua/category/deklaruvannya/" TargetMode="External"/><Relationship Id="rId11" Type="http://schemas.openxmlformats.org/officeDocument/2006/relationships/hyperlink" Target="https://portal.pfu.gov.ua/?fbclid=IwAR2YWdUQZ8_JG3PEUdgv-USY7r0KWRS7Kb-Ritcg8PI5NvGWBSGSo5wViXw" TargetMode="External"/><Relationship Id="rId5" Type="http://schemas.openxmlformats.org/officeDocument/2006/relationships/hyperlink" Target="https://wiki.nazk.gov.ua/category/deklaruvannya/hiii-dohody-u-tomu-chysli-podarunky/" TargetMode="External"/><Relationship Id="rId15" Type="http://schemas.openxmlformats.org/officeDocument/2006/relationships/hyperlink" Target="https://cabinet.smida.gov.ua/" TargetMode="External"/><Relationship Id="rId10" Type="http://schemas.openxmlformats.org/officeDocument/2006/relationships/hyperlink" Target="https://e-driver.hsc.gov.ua/accounts/login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p.minjust.gov.ua/" TargetMode="External"/><Relationship Id="rId14" Type="http://schemas.openxmlformats.org/officeDocument/2006/relationships/hyperlink" Target="https://ukrpatent.org/uk/articles/bases2?fbclid=IwAR327-fX5fyL5_TLvOWH6nJQ1CknZwqihLF_JAyC_yA_vDeja6ErevyVK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5453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Ірина</cp:lastModifiedBy>
  <cp:revision>5</cp:revision>
  <dcterms:created xsi:type="dcterms:W3CDTF">2022-01-05T07:11:00Z</dcterms:created>
  <dcterms:modified xsi:type="dcterms:W3CDTF">2022-05-24T06:52:00Z</dcterms:modified>
</cp:coreProperties>
</file>