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10" w:rsidRPr="00310F7E" w:rsidRDefault="00310F7E" w:rsidP="00E26F10">
      <w:pPr>
        <w:shd w:val="clear" w:color="auto" w:fill="FFFFFF"/>
        <w:spacing w:after="0" w:line="240" w:lineRule="auto"/>
        <w:ind w:left="1494"/>
        <w:jc w:val="center"/>
        <w:outlineLvl w:val="2"/>
        <w:rPr>
          <w:rFonts w:ascii="Times New Roman" w:hAnsi="Times New Roman" w:cs="Times New Roman"/>
          <w:b/>
          <w:color w:val="000000" w:themeColor="text1"/>
          <w:sz w:val="28"/>
          <w:szCs w:val="28"/>
          <w:lang w:val="uk-UA"/>
        </w:rPr>
      </w:pPr>
      <w:r w:rsidRPr="00310F7E">
        <w:rPr>
          <w:rFonts w:ascii="Times New Roman" w:hAnsi="Times New Roman"/>
          <w:b/>
          <w:color w:val="000000" w:themeColor="text1"/>
          <w:sz w:val="28"/>
          <w:szCs w:val="28"/>
          <w:lang w:val="uk-UA"/>
        </w:rPr>
        <w:t xml:space="preserve">ВЕБІНАР: </w:t>
      </w:r>
      <w:r w:rsidR="00E26F10" w:rsidRPr="00310F7E">
        <w:rPr>
          <w:rFonts w:ascii="Times New Roman" w:hAnsi="Times New Roman"/>
          <w:b/>
          <w:color w:val="000000" w:themeColor="text1"/>
          <w:sz w:val="28"/>
          <w:szCs w:val="28"/>
          <w:lang w:val="uk-UA"/>
        </w:rPr>
        <w:t>Особливості діяльності суб’єктів державної та комунальної власності в умовах військового стану (19 04 2022)</w:t>
      </w:r>
    </w:p>
    <w:p w:rsidR="00E26F10" w:rsidRPr="00310F7E" w:rsidRDefault="00E26F10" w:rsidP="00E26F10">
      <w:pPr>
        <w:shd w:val="clear" w:color="auto" w:fill="FFFFFF"/>
        <w:spacing w:after="0" w:line="240" w:lineRule="auto"/>
        <w:ind w:left="1494"/>
        <w:jc w:val="right"/>
        <w:outlineLvl w:val="2"/>
        <w:rPr>
          <w:rFonts w:ascii="Times New Roman" w:hAnsi="Times New Roman" w:cs="Times New Roman"/>
          <w:b/>
          <w:color w:val="000000" w:themeColor="text1"/>
          <w:sz w:val="28"/>
          <w:szCs w:val="28"/>
          <w:lang w:val="uk-UA"/>
        </w:rPr>
      </w:pPr>
    </w:p>
    <w:p w:rsidR="00E26F10" w:rsidRPr="00310F7E" w:rsidRDefault="00E26F10" w:rsidP="00E26F10">
      <w:pPr>
        <w:shd w:val="clear" w:color="auto" w:fill="FFFFFF"/>
        <w:spacing w:after="0" w:line="240" w:lineRule="auto"/>
        <w:ind w:left="1494"/>
        <w:jc w:val="right"/>
        <w:outlineLvl w:val="2"/>
        <w:rPr>
          <w:rFonts w:ascii="Times New Roman" w:hAnsi="Times New Roman" w:cs="Times New Roman"/>
          <w:b/>
          <w:color w:val="000000" w:themeColor="text1"/>
          <w:sz w:val="28"/>
          <w:szCs w:val="28"/>
          <w:lang w:val="uk-UA"/>
        </w:rPr>
      </w:pPr>
      <w:r w:rsidRPr="00310F7E">
        <w:rPr>
          <w:rFonts w:ascii="Times New Roman" w:hAnsi="Times New Roman" w:cs="Times New Roman"/>
          <w:b/>
          <w:color w:val="000000" w:themeColor="text1"/>
          <w:sz w:val="28"/>
          <w:szCs w:val="28"/>
          <w:lang w:val="uk-UA"/>
        </w:rPr>
        <w:t>Лектори:</w:t>
      </w:r>
    </w:p>
    <w:p w:rsidR="00E26F10" w:rsidRPr="00310F7E" w:rsidRDefault="00E26F10" w:rsidP="00E26F10">
      <w:pPr>
        <w:shd w:val="clear" w:color="auto" w:fill="FFFFFF"/>
        <w:spacing w:after="0" w:line="240" w:lineRule="auto"/>
        <w:ind w:firstLine="284"/>
        <w:jc w:val="both"/>
        <w:outlineLvl w:val="2"/>
        <w:rPr>
          <w:rFonts w:ascii="Times New Roman" w:hAnsi="Times New Roman" w:cs="Times New Roman"/>
          <w:b/>
          <w:i/>
          <w:color w:val="000000" w:themeColor="text1"/>
          <w:sz w:val="28"/>
          <w:szCs w:val="28"/>
          <w:lang w:val="uk-UA"/>
        </w:rPr>
      </w:pPr>
      <w:r w:rsidRPr="00310F7E">
        <w:rPr>
          <w:rFonts w:ascii="Times New Roman" w:hAnsi="Times New Roman" w:cs="Times New Roman"/>
          <w:b/>
          <w:i/>
          <w:color w:val="000000" w:themeColor="text1"/>
          <w:sz w:val="28"/>
          <w:szCs w:val="28"/>
          <w:lang w:val="uk-UA"/>
        </w:rPr>
        <w:t>1.Світлана Левицька, д</w:t>
      </w:r>
      <w:r w:rsidRPr="00310F7E">
        <w:rPr>
          <w:rFonts w:ascii="Times New Roman" w:hAnsi="Times New Roman" w:cs="Times New Roman"/>
          <w:color w:val="000000" w:themeColor="text1"/>
          <w:sz w:val="28"/>
          <w:szCs w:val="28"/>
          <w:lang w:val="uk-UA"/>
        </w:rPr>
        <w:t>.е.н., професор Національного університету водного господарства та природокористування, аудитор ТОВ «Українська регіональна аудиторська компанія».</w:t>
      </w:r>
    </w:p>
    <w:p w:rsidR="00E26F10" w:rsidRPr="00310F7E" w:rsidRDefault="00E26F10" w:rsidP="00E26F10">
      <w:pPr>
        <w:shd w:val="clear" w:color="auto" w:fill="FFFFFF"/>
        <w:spacing w:after="0" w:line="240" w:lineRule="auto"/>
        <w:ind w:firstLine="284"/>
        <w:jc w:val="both"/>
        <w:outlineLvl w:val="2"/>
        <w:rPr>
          <w:rFonts w:ascii="Times New Roman" w:hAnsi="Times New Roman"/>
          <w:color w:val="000000" w:themeColor="text1"/>
          <w:sz w:val="28"/>
          <w:szCs w:val="28"/>
          <w:lang w:val="uk-UA"/>
        </w:rPr>
      </w:pPr>
      <w:r w:rsidRPr="00310F7E">
        <w:rPr>
          <w:rFonts w:ascii="Times New Roman" w:hAnsi="Times New Roman"/>
          <w:b/>
          <w:i/>
          <w:color w:val="000000" w:themeColor="text1"/>
          <w:sz w:val="28"/>
          <w:szCs w:val="28"/>
          <w:lang w:val="uk-UA"/>
        </w:rPr>
        <w:t>2</w:t>
      </w:r>
      <w:r w:rsidR="0019200A" w:rsidRPr="00310F7E">
        <w:rPr>
          <w:rFonts w:ascii="Times New Roman" w:hAnsi="Times New Roman"/>
          <w:b/>
          <w:i/>
          <w:color w:val="000000" w:themeColor="text1"/>
          <w:sz w:val="28"/>
          <w:szCs w:val="28"/>
          <w:lang w:val="uk-UA"/>
        </w:rPr>
        <w:t>.</w:t>
      </w:r>
      <w:r w:rsidRPr="00310F7E">
        <w:rPr>
          <w:rFonts w:ascii="Times New Roman" w:hAnsi="Times New Roman"/>
          <w:b/>
          <w:i/>
          <w:color w:val="000000" w:themeColor="text1"/>
          <w:sz w:val="28"/>
          <w:szCs w:val="28"/>
          <w:lang w:val="uk-UA"/>
        </w:rPr>
        <w:t xml:space="preserve">Оксана Лелюх, </w:t>
      </w:r>
      <w:r w:rsidRPr="00310F7E">
        <w:rPr>
          <w:rFonts w:ascii="Times New Roman" w:hAnsi="Times New Roman"/>
          <w:color w:val="000000" w:themeColor="text1"/>
          <w:sz w:val="28"/>
          <w:szCs w:val="28"/>
          <w:lang w:val="uk-UA"/>
        </w:rPr>
        <w:t>завідувач сектору адміністрування єдиного внеску (</w:t>
      </w:r>
      <w:r w:rsidRPr="00310F7E">
        <w:rPr>
          <w:rFonts w:ascii="Times New Roman" w:eastAsia="Times New Roman" w:hAnsi="Times New Roman" w:cs="Times New Roman"/>
          <w:color w:val="000000" w:themeColor="text1"/>
          <w:sz w:val="28"/>
          <w:szCs w:val="28"/>
          <w:lang w:val="uk-UA"/>
        </w:rPr>
        <w:t>Головне управління ДПС у Рівненській  обл.)</w:t>
      </w:r>
      <w:r w:rsidRPr="00310F7E">
        <w:rPr>
          <w:rFonts w:ascii="Times New Roman" w:hAnsi="Times New Roman"/>
          <w:color w:val="000000" w:themeColor="text1"/>
          <w:sz w:val="28"/>
          <w:szCs w:val="28"/>
          <w:lang w:val="uk-UA"/>
        </w:rPr>
        <w:t>;</w:t>
      </w:r>
    </w:p>
    <w:p w:rsidR="00E26F10" w:rsidRPr="00310F7E" w:rsidRDefault="00E26F10" w:rsidP="00E26F10">
      <w:pPr>
        <w:shd w:val="clear" w:color="auto" w:fill="FFFFFF"/>
        <w:spacing w:after="0" w:line="240" w:lineRule="auto"/>
        <w:ind w:firstLine="284"/>
        <w:jc w:val="both"/>
        <w:outlineLvl w:val="2"/>
        <w:rPr>
          <w:rFonts w:ascii="Times New Roman" w:hAnsi="Times New Roman"/>
          <w:color w:val="000000" w:themeColor="text1"/>
          <w:sz w:val="28"/>
          <w:szCs w:val="28"/>
          <w:lang w:val="uk-UA"/>
        </w:rPr>
      </w:pPr>
      <w:r w:rsidRPr="00310F7E">
        <w:rPr>
          <w:rFonts w:ascii="Times New Roman" w:hAnsi="Times New Roman"/>
          <w:b/>
          <w:i/>
          <w:color w:val="000000" w:themeColor="text1"/>
          <w:sz w:val="28"/>
          <w:szCs w:val="28"/>
          <w:lang w:val="uk-UA"/>
        </w:rPr>
        <w:t>3.</w:t>
      </w:r>
      <w:r w:rsidRPr="00310F7E">
        <w:rPr>
          <w:rFonts w:ascii="Times New Roman" w:eastAsia="Times New Roman" w:hAnsi="Times New Roman" w:cs="Times New Roman"/>
          <w:b/>
          <w:i/>
          <w:color w:val="000000" w:themeColor="text1"/>
          <w:sz w:val="28"/>
          <w:szCs w:val="28"/>
          <w:lang w:val="uk-UA"/>
        </w:rPr>
        <w:t>Олена Дімітрук</w:t>
      </w:r>
      <w:r w:rsidRPr="00310F7E">
        <w:rPr>
          <w:rFonts w:ascii="Times New Roman" w:hAnsi="Times New Roman"/>
          <w:b/>
          <w:i/>
          <w:color w:val="000000" w:themeColor="text1"/>
          <w:sz w:val="28"/>
          <w:szCs w:val="28"/>
          <w:lang w:val="uk-UA"/>
        </w:rPr>
        <w:t>,</w:t>
      </w:r>
      <w:r w:rsidRPr="00310F7E">
        <w:rPr>
          <w:rFonts w:ascii="Times New Roman" w:hAnsi="Times New Roman"/>
          <w:color w:val="000000" w:themeColor="text1"/>
          <w:sz w:val="28"/>
          <w:szCs w:val="28"/>
          <w:lang w:val="uk-UA"/>
        </w:rPr>
        <w:t xml:space="preserve"> </w:t>
      </w:r>
      <w:r w:rsidRPr="00310F7E">
        <w:rPr>
          <w:rFonts w:ascii="Times New Roman" w:eastAsia="Times New Roman" w:hAnsi="Times New Roman" w:cs="Times New Roman"/>
          <w:color w:val="000000" w:themeColor="text1"/>
          <w:sz w:val="28"/>
          <w:szCs w:val="28"/>
          <w:lang w:val="uk-UA"/>
        </w:rPr>
        <w:t>начальник управління податкового адміністрування юридичних осіб (Головне управління ДПС у Рівненській  обл.)</w:t>
      </w:r>
      <w:r w:rsidRPr="00310F7E">
        <w:rPr>
          <w:rFonts w:ascii="Times New Roman" w:hAnsi="Times New Roman"/>
          <w:color w:val="000000" w:themeColor="text1"/>
          <w:sz w:val="28"/>
          <w:szCs w:val="28"/>
          <w:lang w:val="uk-UA"/>
        </w:rPr>
        <w:t xml:space="preserve">; </w:t>
      </w:r>
    </w:p>
    <w:p w:rsidR="00E26F10" w:rsidRPr="00310F7E" w:rsidRDefault="00E26F10" w:rsidP="00E26F10">
      <w:pPr>
        <w:shd w:val="clear" w:color="auto" w:fill="FFFFFF"/>
        <w:spacing w:after="0" w:line="240" w:lineRule="auto"/>
        <w:ind w:firstLine="284"/>
        <w:jc w:val="both"/>
        <w:outlineLvl w:val="2"/>
        <w:rPr>
          <w:rFonts w:ascii="Times New Roman" w:eastAsia="Times New Roman" w:hAnsi="Times New Roman" w:cs="Times New Roman"/>
          <w:b/>
          <w:bCs/>
          <w:i/>
          <w:color w:val="000000" w:themeColor="text1"/>
          <w:sz w:val="28"/>
          <w:szCs w:val="28"/>
          <w:lang w:val="uk-UA"/>
        </w:rPr>
      </w:pPr>
      <w:r w:rsidRPr="00310F7E">
        <w:rPr>
          <w:rFonts w:ascii="Times New Roman" w:hAnsi="Times New Roman"/>
          <w:color w:val="000000" w:themeColor="text1"/>
          <w:sz w:val="28"/>
          <w:szCs w:val="28"/>
          <w:lang w:val="uk-UA"/>
        </w:rPr>
        <w:t>4.</w:t>
      </w:r>
      <w:r w:rsidRPr="00310F7E">
        <w:rPr>
          <w:rFonts w:ascii="Times New Roman" w:hAnsi="Times New Roman"/>
          <w:b/>
          <w:i/>
          <w:color w:val="000000" w:themeColor="text1"/>
          <w:sz w:val="28"/>
          <w:szCs w:val="28"/>
          <w:lang w:val="uk-UA"/>
        </w:rPr>
        <w:t>Олександр Панчук</w:t>
      </w:r>
      <w:r w:rsidRPr="00310F7E">
        <w:rPr>
          <w:rFonts w:ascii="Times New Roman" w:hAnsi="Times New Roman"/>
          <w:color w:val="000000" w:themeColor="text1"/>
          <w:sz w:val="28"/>
          <w:szCs w:val="28"/>
          <w:lang w:val="uk-UA"/>
        </w:rPr>
        <w:t xml:space="preserve">, </w:t>
      </w:r>
      <w:r w:rsidR="0019200A" w:rsidRPr="00310F7E">
        <w:rPr>
          <w:rFonts w:ascii="Times New Roman" w:hAnsi="Times New Roman"/>
          <w:color w:val="000000" w:themeColor="text1"/>
          <w:sz w:val="28"/>
          <w:szCs w:val="28"/>
          <w:lang w:val="uk-UA"/>
        </w:rPr>
        <w:t>заступник начальника відділу адміністрування продатку на доходи фізичних осіб (</w:t>
      </w:r>
      <w:r w:rsidR="0019200A" w:rsidRPr="00310F7E">
        <w:rPr>
          <w:rFonts w:ascii="Times New Roman" w:eastAsia="Times New Roman" w:hAnsi="Times New Roman" w:cs="Times New Roman"/>
          <w:color w:val="000000" w:themeColor="text1"/>
          <w:sz w:val="28"/>
          <w:szCs w:val="28"/>
          <w:lang w:val="uk-UA"/>
        </w:rPr>
        <w:t>Головне управління ДПС у Рівненській  обл.).</w:t>
      </w:r>
    </w:p>
    <w:p w:rsidR="00E26F10" w:rsidRPr="00310F7E" w:rsidRDefault="00E26F10" w:rsidP="00E26F10">
      <w:pPr>
        <w:shd w:val="clear" w:color="auto" w:fill="FFFFFF"/>
        <w:spacing w:after="0" w:line="240" w:lineRule="auto"/>
        <w:ind w:firstLine="284"/>
        <w:jc w:val="both"/>
        <w:outlineLvl w:val="2"/>
        <w:rPr>
          <w:rFonts w:ascii="Times New Roman" w:eastAsia="Times New Roman" w:hAnsi="Times New Roman" w:cs="Times New Roman"/>
          <w:b/>
          <w:bCs/>
          <w:color w:val="000000" w:themeColor="text1"/>
          <w:sz w:val="24"/>
          <w:szCs w:val="24"/>
          <w:lang w:val="uk-UA"/>
        </w:rPr>
      </w:pPr>
    </w:p>
    <w:p w:rsidR="00E26F10" w:rsidRPr="00310F7E" w:rsidRDefault="00E26F10" w:rsidP="00E26F10">
      <w:pPr>
        <w:shd w:val="clear" w:color="auto" w:fill="FFFFFF"/>
        <w:spacing w:after="0" w:line="240" w:lineRule="auto"/>
        <w:ind w:left="1494"/>
        <w:jc w:val="right"/>
        <w:outlineLvl w:val="2"/>
        <w:rPr>
          <w:rFonts w:ascii="Times New Roman" w:eastAsia="Times New Roman" w:hAnsi="Times New Roman" w:cs="Times New Roman"/>
          <w:b/>
          <w:bCs/>
          <w:color w:val="000000" w:themeColor="text1"/>
          <w:sz w:val="28"/>
          <w:szCs w:val="28"/>
          <w:lang w:val="uk-UA"/>
        </w:rPr>
      </w:pPr>
      <w:r w:rsidRPr="00310F7E">
        <w:rPr>
          <w:rFonts w:ascii="Times New Roman" w:hAnsi="Times New Roman" w:cs="Times New Roman"/>
          <w:b/>
          <w:i/>
          <w:color w:val="000000" w:themeColor="text1"/>
          <w:sz w:val="28"/>
          <w:szCs w:val="28"/>
          <w:lang w:val="uk-UA"/>
        </w:rPr>
        <w:t>Світлана Левицька</w:t>
      </w:r>
    </w:p>
    <w:p w:rsidR="0070249D" w:rsidRPr="00310F7E" w:rsidRDefault="00E26F10" w:rsidP="007E7EA6">
      <w:pPr>
        <w:spacing w:before="411" w:after="206" w:line="240" w:lineRule="auto"/>
        <w:jc w:val="center"/>
        <w:rPr>
          <w:rFonts w:ascii="Times New Roman" w:eastAsia="Times New Roman" w:hAnsi="Times New Roman" w:cs="Times New Roman"/>
          <w:b/>
          <w:bCs/>
          <w:color w:val="000000" w:themeColor="text1"/>
          <w:sz w:val="28"/>
          <w:szCs w:val="28"/>
          <w:lang w:val="uk-UA"/>
        </w:rPr>
      </w:pPr>
      <w:r w:rsidRPr="00310F7E">
        <w:rPr>
          <w:rFonts w:ascii="Times New Roman" w:eastAsia="Times New Roman" w:hAnsi="Times New Roman" w:cs="Times New Roman"/>
          <w:b/>
          <w:bCs/>
          <w:color w:val="000000" w:themeColor="text1"/>
          <w:sz w:val="28"/>
          <w:szCs w:val="28"/>
          <w:lang w:val="uk-UA"/>
        </w:rPr>
        <w:t>1.</w:t>
      </w:r>
      <w:r w:rsidR="0070249D" w:rsidRPr="00310F7E">
        <w:rPr>
          <w:rFonts w:ascii="Times New Roman" w:eastAsia="Times New Roman" w:hAnsi="Times New Roman" w:cs="Times New Roman"/>
          <w:b/>
          <w:bCs/>
          <w:color w:val="000000" w:themeColor="text1"/>
          <w:sz w:val="28"/>
          <w:szCs w:val="28"/>
          <w:lang w:val="uk-UA"/>
        </w:rPr>
        <w:t xml:space="preserve">Як </w:t>
      </w:r>
      <w:r w:rsidR="0070249D" w:rsidRPr="00310F7E">
        <w:rPr>
          <w:rFonts w:ascii="Times New Roman" w:eastAsia="Times New Roman" w:hAnsi="Times New Roman" w:cs="Times New Roman"/>
          <w:b/>
          <w:bCs/>
          <w:color w:val="000000" w:themeColor="text1"/>
          <w:sz w:val="28"/>
          <w:szCs w:val="28"/>
        </w:rPr>
        <w:t>визначати справедливу вартість</w:t>
      </w:r>
    </w:p>
    <w:p w:rsidR="00E26F10" w:rsidRPr="00310F7E" w:rsidRDefault="00E26F10" w:rsidP="00E26F10">
      <w:pPr>
        <w:spacing w:before="411" w:after="206" w:line="240" w:lineRule="auto"/>
        <w:ind w:firstLine="567"/>
        <w:jc w:val="both"/>
        <w:rPr>
          <w:rFonts w:ascii="Times New Roman" w:eastAsia="Times New Roman" w:hAnsi="Times New Roman" w:cs="Times New Roman"/>
          <w:bCs/>
          <w:color w:val="000000" w:themeColor="text1"/>
          <w:sz w:val="24"/>
          <w:szCs w:val="24"/>
          <w:lang w:val="uk-UA"/>
        </w:rPr>
      </w:pPr>
      <w:r w:rsidRPr="00310F7E">
        <w:rPr>
          <w:rFonts w:ascii="Times New Roman" w:eastAsia="Times New Roman" w:hAnsi="Times New Roman" w:cs="Times New Roman"/>
          <w:color w:val="000000" w:themeColor="text1"/>
          <w:sz w:val="24"/>
          <w:szCs w:val="24"/>
          <w:lang w:val="uk-UA"/>
        </w:rPr>
        <w:t>С</w:t>
      </w:r>
      <w:r w:rsidRPr="00310F7E">
        <w:rPr>
          <w:rFonts w:ascii="Times New Roman" w:eastAsia="Times New Roman" w:hAnsi="Times New Roman" w:cs="Times New Roman"/>
          <w:color w:val="000000" w:themeColor="text1"/>
          <w:sz w:val="24"/>
          <w:szCs w:val="24"/>
        </w:rPr>
        <w:t>праведливою вартістю є сума, за якою можна продати актив або оплатити зобов'язання за звичайних умов на певну дату</w:t>
      </w:r>
    </w:p>
    <w:tbl>
      <w:tblPr>
        <w:tblW w:w="10270" w:type="dxa"/>
        <w:tblCellSpacing w:w="15" w:type="dxa"/>
        <w:tblBorders>
          <w:top w:val="single" w:sz="8" w:space="0" w:color="8F549D"/>
          <w:left w:val="single" w:sz="8" w:space="0" w:color="8F549D"/>
          <w:bottom w:val="single" w:sz="8" w:space="0" w:color="8F549D"/>
          <w:right w:val="single" w:sz="8" w:space="0" w:color="8F549D"/>
        </w:tblBorders>
        <w:tblLayout w:type="fixed"/>
        <w:tblCellMar>
          <w:top w:w="206" w:type="dxa"/>
          <w:left w:w="62" w:type="dxa"/>
          <w:bottom w:w="206" w:type="dxa"/>
          <w:right w:w="62" w:type="dxa"/>
        </w:tblCellMar>
        <w:tblLook w:val="04A0"/>
      </w:tblPr>
      <w:tblGrid>
        <w:gridCol w:w="1765"/>
        <w:gridCol w:w="1733"/>
        <w:gridCol w:w="1490"/>
        <w:gridCol w:w="1487"/>
        <w:gridCol w:w="2235"/>
        <w:gridCol w:w="1560"/>
      </w:tblGrid>
      <w:tr w:rsidR="0070249D" w:rsidRPr="00310F7E" w:rsidTr="00E26F10">
        <w:trPr>
          <w:gridAfter w:val="1"/>
          <w:wAfter w:w="1515" w:type="dxa"/>
          <w:tblHeader/>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8F549D"/>
            <w:tcMar>
              <w:top w:w="165" w:type="dxa"/>
              <w:left w:w="165" w:type="dxa"/>
              <w:bottom w:w="165" w:type="dxa"/>
              <w:right w:w="165" w:type="dxa"/>
            </w:tcMar>
            <w:hideMark/>
          </w:tcPr>
          <w:p w:rsidR="0070249D" w:rsidRPr="00310F7E" w:rsidRDefault="0070249D" w:rsidP="0070249D">
            <w:pPr>
              <w:spacing w:after="0" w:line="240" w:lineRule="auto"/>
              <w:jc w:val="center"/>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Момент оцінки</w:t>
            </w:r>
          </w:p>
        </w:tc>
        <w:tc>
          <w:tcPr>
            <w:tcW w:w="1703" w:type="dxa"/>
            <w:tcBorders>
              <w:top w:val="single" w:sz="4" w:space="0" w:color="auto"/>
              <w:left w:val="single" w:sz="4" w:space="0" w:color="auto"/>
              <w:bottom w:val="single" w:sz="4" w:space="0" w:color="auto"/>
              <w:right w:val="single" w:sz="4" w:space="0" w:color="auto"/>
            </w:tcBorders>
            <w:shd w:val="clear" w:color="auto" w:fill="8F549D"/>
            <w:tcMar>
              <w:top w:w="165" w:type="dxa"/>
              <w:left w:w="165" w:type="dxa"/>
              <w:bottom w:w="165" w:type="dxa"/>
              <w:right w:w="165" w:type="dxa"/>
            </w:tcMar>
            <w:hideMark/>
          </w:tcPr>
          <w:p w:rsidR="0070249D" w:rsidRPr="00310F7E" w:rsidRDefault="0070249D" w:rsidP="0070249D">
            <w:pPr>
              <w:spacing w:after="0" w:line="240" w:lineRule="auto"/>
              <w:jc w:val="center"/>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Умова</w:t>
            </w:r>
          </w:p>
        </w:tc>
        <w:tc>
          <w:tcPr>
            <w:tcW w:w="2947" w:type="dxa"/>
            <w:gridSpan w:val="2"/>
            <w:tcBorders>
              <w:top w:val="single" w:sz="4" w:space="0" w:color="auto"/>
              <w:left w:val="single" w:sz="4" w:space="0" w:color="auto"/>
              <w:bottom w:val="single" w:sz="4" w:space="0" w:color="auto"/>
              <w:right w:val="single" w:sz="4" w:space="0" w:color="auto"/>
            </w:tcBorders>
            <w:shd w:val="clear" w:color="auto" w:fill="8F549D"/>
            <w:tcMar>
              <w:top w:w="165" w:type="dxa"/>
              <w:left w:w="165" w:type="dxa"/>
              <w:bottom w:w="165" w:type="dxa"/>
              <w:right w:w="165" w:type="dxa"/>
            </w:tcMar>
            <w:hideMark/>
          </w:tcPr>
          <w:p w:rsidR="0070249D" w:rsidRPr="00310F7E" w:rsidRDefault="0070249D" w:rsidP="0070249D">
            <w:pPr>
              <w:spacing w:after="0" w:line="240" w:lineRule="auto"/>
              <w:jc w:val="center"/>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Примітки</w:t>
            </w:r>
          </w:p>
        </w:tc>
        <w:tc>
          <w:tcPr>
            <w:tcW w:w="2205" w:type="dxa"/>
            <w:tcBorders>
              <w:top w:val="nil"/>
              <w:left w:val="single" w:sz="24" w:space="0" w:color="FFFFFF"/>
              <w:bottom w:val="single" w:sz="24" w:space="0" w:color="FFFFFF"/>
              <w:right w:val="single" w:sz="24" w:space="0" w:color="FFFFFF"/>
            </w:tcBorders>
            <w:shd w:val="clear" w:color="auto" w:fill="FBF1F0"/>
            <w:tcMar>
              <w:top w:w="165" w:type="dxa"/>
              <w:left w:w="165" w:type="dxa"/>
              <w:bottom w:w="165" w:type="dxa"/>
              <w:right w:w="165" w:type="dxa"/>
            </w:tcMar>
            <w:hideMark/>
          </w:tcPr>
          <w:p w:rsidR="0070249D" w:rsidRPr="00310F7E" w:rsidRDefault="0070249D" w:rsidP="0070249D">
            <w:pPr>
              <w:spacing w:after="0" w:line="240" w:lineRule="auto"/>
              <w:jc w:val="center"/>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Підстава</w:t>
            </w:r>
          </w:p>
        </w:tc>
      </w:tr>
      <w:tr w:rsidR="0070249D" w:rsidRPr="00310F7E" w:rsidTr="00E26F10">
        <w:trPr>
          <w:gridAfter w:val="1"/>
          <w:wAfter w:w="1515" w:type="dxa"/>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оприбуткування</w:t>
            </w:r>
          </w:p>
        </w:tc>
        <w:tc>
          <w:tcPr>
            <w:tcW w:w="1703"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Об’єкт отримано безкоштовно, а документів, які підтверджували б його вартість, немає</w:t>
            </w:r>
          </w:p>
        </w:tc>
        <w:tc>
          <w:tcPr>
            <w:tcW w:w="2947"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Це правило застосовується в бухоблікових стандартах щодо всіх нефінансових активів</w:t>
            </w:r>
          </w:p>
        </w:tc>
        <w:tc>
          <w:tcPr>
            <w:tcW w:w="2205" w:type="dxa"/>
            <w:tcBorders>
              <w:top w:val="single" w:sz="24" w:space="0" w:color="FFFFFF"/>
              <w:left w:val="single" w:sz="24" w:space="0" w:color="FFFFFF"/>
              <w:bottom w:val="single" w:sz="24" w:space="0" w:color="FFFFFF"/>
              <w:right w:val="single" w:sz="24" w:space="0" w:color="FFFFFF"/>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Підпункт 2.1 розд. ІІІ НС 124 «Доходи», пп. 4, 7, 8 розд. ІІ НС 121 «Основні засоби», пп. 4, 8, 10 розд. ІІ НС 122 «Нематеріальні активи», пп. 5, 6, 9 розд. ІІ НС 123 «Запаси», п. 9 розд. ІІ НС 129 «Інвестиційна нерухомість», п. 6 розд. ІІ НС 136 «Біологічні активи»</w:t>
            </w:r>
          </w:p>
        </w:tc>
      </w:tr>
      <w:tr w:rsidR="0070249D" w:rsidRPr="00310F7E" w:rsidTr="00E26F10">
        <w:trPr>
          <w:gridAfter w:val="1"/>
          <w:wAfter w:w="1515" w:type="dxa"/>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lastRenderedPageBreak/>
              <w:t>На дату</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оприбуткування</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Об’єкт основних засобів, (далі — ОЗ), нематеріальних активів (далі — НМА) буде обліковуватися покомпонентно (тобто окремі складові будуть самостійними одиницями обліку), при цьому документально вартість складових частин не визначена</w:t>
            </w:r>
          </w:p>
        </w:tc>
        <w:tc>
          <w:tcPr>
            <w:tcW w:w="5182" w:type="dxa"/>
            <w:gridSpan w:val="3"/>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Про це йдеться в </w:t>
            </w:r>
            <w:r w:rsidRPr="00310F7E">
              <w:rPr>
                <w:rFonts w:ascii="Times New Roman" w:eastAsia="Times New Roman" w:hAnsi="Times New Roman" w:cs="Times New Roman"/>
                <w:i/>
                <w:iCs/>
                <w:color w:val="000000" w:themeColor="text1"/>
                <w:sz w:val="24"/>
                <w:szCs w:val="24"/>
              </w:rPr>
              <w:t>п. 7 розд. ІІ НС 122 «Нематеріальні активи» </w:t>
            </w:r>
            <w:r w:rsidRPr="00310F7E">
              <w:rPr>
                <w:rFonts w:ascii="Times New Roman" w:eastAsia="Times New Roman" w:hAnsi="Times New Roman" w:cs="Times New Roman"/>
                <w:color w:val="000000" w:themeColor="text1"/>
                <w:sz w:val="24"/>
                <w:szCs w:val="24"/>
              </w:rPr>
              <w:t>щодо НМА.</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ЦИТАТА.</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i/>
                <w:iCs/>
                <w:color w:val="000000" w:themeColor="text1"/>
                <w:sz w:val="24"/>
                <w:szCs w:val="24"/>
              </w:rPr>
              <w:t>7. Первісна вартість окремого об’єкта нематеріальних активів, сплачена загальною сумою, визначається шляхом розподілу сплаченої суми пропорційно до справедливої вартості кожного з придбаних об’єктів».</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(п. 7 розд. ІІ НС 122 «Нематеріальні активи»)</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А в </w:t>
            </w:r>
            <w:r w:rsidRPr="00310F7E">
              <w:rPr>
                <w:rFonts w:ascii="Times New Roman" w:eastAsia="Times New Roman" w:hAnsi="Times New Roman" w:cs="Times New Roman"/>
                <w:i/>
                <w:iCs/>
                <w:color w:val="000000" w:themeColor="text1"/>
                <w:sz w:val="24"/>
                <w:szCs w:val="24"/>
              </w:rPr>
              <w:t>НС 121 «Основні засоби» </w:t>
            </w:r>
            <w:r w:rsidRPr="00310F7E">
              <w:rPr>
                <w:rFonts w:ascii="Times New Roman" w:eastAsia="Times New Roman" w:hAnsi="Times New Roman" w:cs="Times New Roman"/>
                <w:color w:val="000000" w:themeColor="text1"/>
                <w:sz w:val="24"/>
                <w:szCs w:val="24"/>
              </w:rPr>
              <w:t>прямо не зазначено про необхідність застосувати в цьому випадку справедливу вартість. Але пропонуємо керуватися аналогією з </w:t>
            </w:r>
            <w:r w:rsidRPr="00310F7E">
              <w:rPr>
                <w:rFonts w:ascii="Times New Roman" w:eastAsia="Times New Roman" w:hAnsi="Times New Roman" w:cs="Times New Roman"/>
                <w:i/>
                <w:iCs/>
                <w:color w:val="000000" w:themeColor="text1"/>
                <w:sz w:val="24"/>
                <w:szCs w:val="24"/>
              </w:rPr>
              <w:t>пп. 4, 7, 8 розд. ІІ НС 121 «Основні засоби»,</w:t>
            </w:r>
            <w:r w:rsidRPr="00310F7E">
              <w:rPr>
                <w:rFonts w:ascii="Times New Roman" w:eastAsia="Times New Roman" w:hAnsi="Times New Roman" w:cs="Times New Roman"/>
                <w:color w:val="000000" w:themeColor="text1"/>
                <w:sz w:val="24"/>
                <w:szCs w:val="24"/>
              </w:rPr>
              <w:t> адже інакше встановити вартість об’єкта буде неможливо.</w:t>
            </w:r>
          </w:p>
        </w:tc>
      </w:tr>
      <w:tr w:rsidR="0070249D" w:rsidRPr="00310F7E" w:rsidTr="00E26F10">
        <w:trPr>
          <w:gridAfter w:val="1"/>
          <w:wAfter w:w="1515" w:type="dxa"/>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оприбуткування</w:t>
            </w:r>
          </w:p>
        </w:tc>
        <w:tc>
          <w:tcPr>
            <w:tcW w:w="1703"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Об’єкт виявлено як лишки в процесі інвентаризації</w:t>
            </w:r>
          </w:p>
        </w:tc>
        <w:tc>
          <w:tcPr>
            <w:tcW w:w="2947"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w:t>
            </w:r>
          </w:p>
        </w:tc>
        <w:tc>
          <w:tcPr>
            <w:tcW w:w="2205" w:type="dxa"/>
            <w:tcBorders>
              <w:top w:val="single" w:sz="24" w:space="0" w:color="FFFFFF"/>
              <w:left w:val="single" w:sz="24" w:space="0" w:color="FFFFFF"/>
              <w:bottom w:val="single" w:sz="24" w:space="0" w:color="FFFFFF"/>
              <w:right w:val="single" w:sz="24" w:space="0" w:color="FFFFFF"/>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Абзац 2 пп. 1.5, 2.3 розд. ІІІ Положення № 879</w:t>
            </w:r>
          </w:p>
        </w:tc>
      </w:tr>
      <w:tr w:rsidR="0070249D" w:rsidRPr="00310F7E" w:rsidTr="00E26F10">
        <w:trPr>
          <w:gridAfter w:val="1"/>
          <w:wAfter w:w="1515" w:type="dxa"/>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річну дату балансу або на дату переоцінки</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Проведення переоцінки необоротних активів</w:t>
            </w:r>
          </w:p>
        </w:tc>
        <w:tc>
          <w:tcPr>
            <w:tcW w:w="5182" w:type="dxa"/>
            <w:gridSpan w:val="3"/>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Для визначення потреби в переоцінці проводять аналіз відхилення залишкової вартості від справедливої на річну дату балансу (</w:t>
            </w:r>
            <w:r w:rsidRPr="00310F7E">
              <w:rPr>
                <w:rFonts w:ascii="Times New Roman" w:eastAsia="Times New Roman" w:hAnsi="Times New Roman" w:cs="Times New Roman"/>
                <w:i/>
                <w:iCs/>
                <w:color w:val="000000" w:themeColor="text1"/>
                <w:sz w:val="24"/>
                <w:szCs w:val="24"/>
              </w:rPr>
              <w:t>пп. 3,4 розд. ІІІ НС 121 «Основні засоби», п. 4 розд. ІІІ НС 122 «Нематеріальні активи»</w:t>
            </w:r>
            <w:r w:rsidRPr="00310F7E">
              <w:rPr>
                <w:rFonts w:ascii="Times New Roman" w:eastAsia="Times New Roman" w:hAnsi="Times New Roman" w:cs="Times New Roman"/>
                <w:color w:val="000000" w:themeColor="text1"/>
                <w:sz w:val="24"/>
                <w:szCs w:val="24"/>
              </w:rPr>
              <w:t>).</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Але за рішенням керівника переоцінку можуть провести і в інший час, не обов’язково «під річну фінзвітність». І в такому разі відхилення вже певно, що не визначатимуть, але справедливу вартість все одно потрібно буде встановити власне для самої процедури переоцінки (</w:t>
            </w:r>
            <w:r w:rsidRPr="00310F7E">
              <w:rPr>
                <w:rFonts w:ascii="Times New Roman" w:eastAsia="Times New Roman" w:hAnsi="Times New Roman" w:cs="Times New Roman"/>
                <w:i/>
                <w:iCs/>
                <w:color w:val="000000" w:themeColor="text1"/>
                <w:sz w:val="24"/>
                <w:szCs w:val="24"/>
              </w:rPr>
              <w:t xml:space="preserve">п.п. 5 розд. ІІІ НС 121 «Основні засоби», п. 7 розд. ІІІ НС 122 «Нематеріальні </w:t>
            </w:r>
            <w:r w:rsidRPr="00310F7E">
              <w:rPr>
                <w:rFonts w:ascii="Times New Roman" w:eastAsia="Times New Roman" w:hAnsi="Times New Roman" w:cs="Times New Roman"/>
                <w:i/>
                <w:iCs/>
                <w:color w:val="000000" w:themeColor="text1"/>
                <w:sz w:val="24"/>
                <w:szCs w:val="24"/>
              </w:rPr>
              <w:lastRenderedPageBreak/>
              <w:t>активи»)</w:t>
            </w:r>
            <w:r w:rsidRPr="00310F7E">
              <w:rPr>
                <w:rFonts w:ascii="Times New Roman" w:eastAsia="Times New Roman" w:hAnsi="Times New Roman" w:cs="Times New Roman"/>
                <w:color w:val="000000" w:themeColor="text1"/>
                <w:sz w:val="24"/>
                <w:szCs w:val="24"/>
              </w:rPr>
              <w:t>. Детальніше про проведення переоцінки ОЗ див. </w:t>
            </w:r>
            <w:hyperlink r:id="rId7" w:tgtFrame="_blank" w:history="1">
              <w:r w:rsidRPr="00310F7E">
                <w:rPr>
                  <w:rFonts w:ascii="Times New Roman" w:eastAsia="Times New Roman" w:hAnsi="Times New Roman" w:cs="Times New Roman"/>
                  <w:color w:val="000000" w:themeColor="text1"/>
                  <w:sz w:val="24"/>
                  <w:szCs w:val="24"/>
                </w:rPr>
                <w:t>у попередній статті</w:t>
              </w:r>
            </w:hyperlink>
            <w:r w:rsidRPr="00310F7E">
              <w:rPr>
                <w:rFonts w:ascii="Times New Roman" w:eastAsia="Times New Roman" w:hAnsi="Times New Roman" w:cs="Times New Roman"/>
                <w:color w:val="000000" w:themeColor="text1"/>
                <w:sz w:val="24"/>
                <w:szCs w:val="24"/>
              </w:rPr>
              <w:t>.</w:t>
            </w:r>
          </w:p>
        </w:tc>
      </w:tr>
      <w:tr w:rsidR="0070249D" w:rsidRPr="00310F7E" w:rsidTr="00E26F10">
        <w:trPr>
          <w:gridAfter w:val="1"/>
          <w:wAfter w:w="1515" w:type="dxa"/>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lastRenderedPageBreak/>
              <w:t>На дату операції</w:t>
            </w:r>
          </w:p>
        </w:tc>
        <w:tc>
          <w:tcPr>
            <w:tcW w:w="1703"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Встановлення чистої вартості реалізації ОЗ або запасів</w:t>
            </w:r>
          </w:p>
        </w:tc>
        <w:tc>
          <w:tcPr>
            <w:tcW w:w="2947"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Чистою вартістю реалізації активів є справедлива вартість за вирахуванням очікуваних витрат на їх реалізацію</w:t>
            </w:r>
          </w:p>
        </w:tc>
        <w:tc>
          <w:tcPr>
            <w:tcW w:w="2205" w:type="dxa"/>
            <w:tcBorders>
              <w:top w:val="single" w:sz="24" w:space="0" w:color="FFFFFF"/>
              <w:left w:val="single" w:sz="24" w:space="0" w:color="FFFFFF"/>
              <w:bottom w:val="single" w:sz="24" w:space="0" w:color="FFFFFF"/>
              <w:right w:val="single" w:sz="24" w:space="0" w:color="FFFFFF"/>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Абзац 22 п. 4 розд. І НС 121 «Основні засоби», абз. 9 п. 4 розд. І НС 123 «Запаси»</w:t>
            </w:r>
          </w:p>
        </w:tc>
      </w:tr>
      <w:tr w:rsidR="0070249D" w:rsidRPr="00310F7E" w:rsidTr="00E26F10">
        <w:trPr>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оприбуткування</w:t>
            </w:r>
          </w:p>
        </w:tc>
        <w:tc>
          <w:tcPr>
            <w:tcW w:w="3193"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Визначення виробничої собівартості продукції</w:t>
            </w:r>
          </w:p>
        </w:tc>
        <w:tc>
          <w:tcPr>
            <w:tcW w:w="3692"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Виробнича собівартість продукції зменшується на справедливу вартість супутньої продукції, що реалізується</w:t>
            </w:r>
          </w:p>
        </w:tc>
        <w:tc>
          <w:tcPr>
            <w:tcW w:w="1515" w:type="dxa"/>
            <w:tcBorders>
              <w:top w:val="single" w:sz="24" w:space="0" w:color="FFFFFF"/>
              <w:left w:val="single" w:sz="24" w:space="0" w:color="FFFFFF"/>
              <w:bottom w:val="single" w:sz="24" w:space="0" w:color="FFFFFF"/>
              <w:right w:val="single" w:sz="24" w:space="0" w:color="FFFFFF"/>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Пункт 1 розд. ІV НС 135 «Витрати»</w:t>
            </w:r>
          </w:p>
        </w:tc>
      </w:tr>
      <w:tr w:rsidR="0070249D" w:rsidRPr="00310F7E" w:rsidTr="00E26F10">
        <w:trPr>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оприбуткування</w:t>
            </w: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Первісне визнання додаткових біологічних активів, сільськогосподарської продукції</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При первісному визнанні ці активи оцінюються за справедливою вартістю за вирахуванням витрат на продаж</w:t>
            </w:r>
          </w:p>
        </w:tc>
        <w:tc>
          <w:tcPr>
            <w:tcW w:w="1515" w:type="dxa"/>
            <w:tcBorders>
              <w:top w:val="single" w:sz="24" w:space="0" w:color="FFFFFF"/>
              <w:left w:val="single" w:sz="24" w:space="0" w:color="FFFFFF"/>
              <w:bottom w:val="single" w:sz="24" w:space="0" w:color="FFFFFF"/>
              <w:right w:val="single" w:sz="24" w:space="0" w:color="FFFFFF"/>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Пункти 8, 11 розд. ІІ НС 136 «Біологічні активи»</w:t>
            </w:r>
          </w:p>
        </w:tc>
      </w:tr>
      <w:tr w:rsidR="0070249D" w:rsidRPr="00310F7E" w:rsidTr="00E26F10">
        <w:trPr>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 балансу</w:t>
            </w:r>
          </w:p>
        </w:tc>
        <w:tc>
          <w:tcPr>
            <w:tcW w:w="3193"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Відображення в балансі біологічних активів</w:t>
            </w:r>
          </w:p>
        </w:tc>
        <w:tc>
          <w:tcPr>
            <w:tcW w:w="3692" w:type="dxa"/>
            <w:gridSpan w:val="2"/>
            <w:tcBorders>
              <w:top w:val="single" w:sz="4" w:space="0" w:color="auto"/>
              <w:left w:val="single" w:sz="4" w:space="0" w:color="auto"/>
              <w:bottom w:val="single" w:sz="4" w:space="0" w:color="auto"/>
              <w:right w:val="single" w:sz="4" w:space="0" w:color="auto"/>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Біологічні активи відображаються на дату балансу за справедливою вартістю за вирахуванням витрат на продаж, окрім випадків, коли справедливу вартість встановити неможливо</w:t>
            </w:r>
          </w:p>
        </w:tc>
        <w:tc>
          <w:tcPr>
            <w:tcW w:w="1515" w:type="dxa"/>
            <w:tcBorders>
              <w:top w:val="single" w:sz="24" w:space="0" w:color="FFFFFF"/>
              <w:left w:val="single" w:sz="24" w:space="0" w:color="FFFFFF"/>
              <w:bottom w:val="single" w:sz="24" w:space="0" w:color="FFFFFF"/>
              <w:right w:val="single" w:sz="24" w:space="0" w:color="FFFFFF"/>
            </w:tcBorders>
            <w:shd w:val="clear" w:color="auto" w:fill="EFEFEF"/>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Пункт 9 розд. ІІ НС 136 «Біологічні</w:t>
            </w:r>
          </w:p>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активи»</w:t>
            </w:r>
          </w:p>
        </w:tc>
      </w:tr>
      <w:tr w:rsidR="0070249D" w:rsidRPr="00310F7E" w:rsidTr="00E26F10">
        <w:trPr>
          <w:tblCellSpacing w:w="15" w:type="dxa"/>
        </w:trPr>
        <w:tc>
          <w:tcPr>
            <w:tcW w:w="1720" w:type="dxa"/>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На дату операції</w:t>
            </w: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Визначення збитків або розміру відшкодування від завдання шкоди — щодо всіх об’єктів нефінансових активів</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Mar>
              <w:top w:w="165" w:type="dxa"/>
              <w:left w:w="165" w:type="dxa"/>
              <w:bottom w:w="165" w:type="dxa"/>
              <w:right w:w="165" w:type="dxa"/>
            </w:tcMar>
            <w:hideMark/>
          </w:tcPr>
          <w:p w:rsidR="0070249D" w:rsidRPr="00310F7E" w:rsidRDefault="0070249D" w:rsidP="0070249D">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Вимагається визначення експертної оцінки, яка, по суті, є справедливою вартістю втрачених, пошкоджених нефінансових активів на момент цієї події</w:t>
            </w:r>
          </w:p>
        </w:tc>
        <w:tc>
          <w:tcPr>
            <w:tcW w:w="1515" w:type="dxa"/>
            <w:tcBorders>
              <w:top w:val="single" w:sz="24" w:space="0" w:color="FFFFFF"/>
              <w:left w:val="single" w:sz="24" w:space="0" w:color="FFFFFF"/>
              <w:bottom w:val="single" w:sz="24" w:space="0" w:color="FFFFFF"/>
              <w:right w:val="single" w:sz="24" w:space="0" w:color="FFFFFF"/>
            </w:tcBorders>
            <w:shd w:val="clear" w:color="auto" w:fill="auto"/>
            <w:tcMar>
              <w:top w:w="165" w:type="dxa"/>
              <w:left w:w="165" w:type="dxa"/>
              <w:bottom w:w="165" w:type="dxa"/>
              <w:right w:w="165" w:type="dxa"/>
            </w:tcMar>
            <w:hideMark/>
          </w:tcPr>
          <w:p w:rsidR="0070249D" w:rsidRPr="00310F7E" w:rsidRDefault="0070249D" w:rsidP="0070249D">
            <w:pPr>
              <w:spacing w:after="206"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Частина 2 ст. 7 Закону про оцінку</w:t>
            </w:r>
          </w:p>
          <w:p w:rsidR="0070249D" w:rsidRPr="00310F7E" w:rsidRDefault="0070249D" w:rsidP="0070249D">
            <w:pPr>
              <w:spacing w:after="206"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майна</w:t>
            </w:r>
            <w:r w:rsidRPr="00310F7E">
              <w:rPr>
                <w:rFonts w:ascii="Times New Roman" w:eastAsia="Times New Roman" w:hAnsi="Times New Roman" w:cs="Times New Roman"/>
                <w:color w:val="000000" w:themeColor="text1"/>
                <w:sz w:val="24"/>
                <w:szCs w:val="24"/>
              </w:rPr>
              <w:t>​</w:t>
            </w:r>
          </w:p>
        </w:tc>
      </w:tr>
    </w:tbl>
    <w:p w:rsidR="0070249D" w:rsidRPr="00310F7E" w:rsidRDefault="0070249D" w:rsidP="0070249D">
      <w:pPr>
        <w:spacing w:after="0" w:line="240" w:lineRule="auto"/>
        <w:jc w:val="both"/>
        <w:rPr>
          <w:rFonts w:ascii="Times New Roman" w:eastAsia="Times New Roman" w:hAnsi="Times New Roman" w:cs="Times New Roman"/>
          <w:b/>
          <w:bCs/>
          <w:color w:val="000000" w:themeColor="text1"/>
          <w:sz w:val="24"/>
          <w:szCs w:val="24"/>
          <w:lang w:val="uk-UA"/>
        </w:rPr>
      </w:pPr>
    </w:p>
    <w:p w:rsidR="0070249D" w:rsidRPr="00310F7E" w:rsidRDefault="0070249D" w:rsidP="0070249D">
      <w:pPr>
        <w:spacing w:after="0" w:line="240" w:lineRule="auto"/>
        <w:jc w:val="both"/>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lang w:val="uk-UA"/>
        </w:rPr>
        <w:t xml:space="preserve">      </w:t>
      </w:r>
      <w:r w:rsidRPr="00310F7E">
        <w:rPr>
          <w:rFonts w:ascii="Times New Roman" w:eastAsia="Times New Roman" w:hAnsi="Times New Roman" w:cs="Times New Roman"/>
          <w:b/>
          <w:bCs/>
          <w:color w:val="000000" w:themeColor="text1"/>
          <w:sz w:val="24"/>
          <w:szCs w:val="24"/>
        </w:rPr>
        <w:t>Кому визначати справедливу вартість?</w:t>
      </w:r>
    </w:p>
    <w:p w:rsidR="0070249D" w:rsidRPr="00310F7E" w:rsidRDefault="0070249D" w:rsidP="0019200A">
      <w:pPr>
        <w:spacing w:after="0" w:line="240" w:lineRule="auto"/>
        <w:ind w:firstLine="567"/>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i/>
          <w:iCs/>
          <w:color w:val="000000" w:themeColor="text1"/>
          <w:sz w:val="24"/>
          <w:szCs w:val="24"/>
        </w:rPr>
        <w:t>Стаття 7 Закону про оцінку майна</w:t>
      </w:r>
      <w:r w:rsidRPr="00310F7E">
        <w:rPr>
          <w:rFonts w:ascii="Times New Roman" w:eastAsia="Times New Roman" w:hAnsi="Times New Roman" w:cs="Times New Roman"/>
          <w:color w:val="000000" w:themeColor="text1"/>
          <w:sz w:val="24"/>
          <w:szCs w:val="24"/>
        </w:rPr>
        <w:t> визначає ситуації, коли для проведення оцінки потрібно обов’язково залучати </w:t>
      </w:r>
      <w:r w:rsidRPr="00310F7E">
        <w:rPr>
          <w:rFonts w:ascii="Times New Roman" w:eastAsia="Times New Roman" w:hAnsi="Times New Roman" w:cs="Times New Roman"/>
          <w:b/>
          <w:bCs/>
          <w:color w:val="000000" w:themeColor="text1"/>
          <w:sz w:val="24"/>
          <w:szCs w:val="24"/>
        </w:rPr>
        <w:t>незалежного професійного експерта</w:t>
      </w:r>
      <w:r w:rsidRPr="00310F7E">
        <w:rPr>
          <w:rFonts w:ascii="Times New Roman" w:eastAsia="Times New Roman" w:hAnsi="Times New Roman" w:cs="Times New Roman"/>
          <w:color w:val="000000" w:themeColor="text1"/>
          <w:sz w:val="24"/>
          <w:szCs w:val="24"/>
        </w:rPr>
        <w:t xml:space="preserve">, який має кваліфікаційне свідоцтво оцінника. Водночас неактуальна термінологія формує поле для різночитання норми . В інших ситуаціях установа може не витрачати кошти на експерта, а </w:t>
      </w:r>
      <w:r w:rsidRPr="00310F7E">
        <w:rPr>
          <w:rFonts w:ascii="Times New Roman" w:eastAsia="Times New Roman" w:hAnsi="Times New Roman" w:cs="Times New Roman"/>
          <w:color w:val="000000" w:themeColor="text1"/>
          <w:sz w:val="24"/>
          <w:szCs w:val="24"/>
        </w:rPr>
        <w:lastRenderedPageBreak/>
        <w:t>встановити справедливу вартість </w:t>
      </w:r>
      <w:r w:rsidRPr="00310F7E">
        <w:rPr>
          <w:rFonts w:ascii="Times New Roman" w:eastAsia="Times New Roman" w:hAnsi="Times New Roman" w:cs="Times New Roman"/>
          <w:b/>
          <w:bCs/>
          <w:color w:val="000000" w:themeColor="text1"/>
          <w:sz w:val="24"/>
          <w:szCs w:val="24"/>
        </w:rPr>
        <w:t>самостійно</w:t>
      </w:r>
      <w:r w:rsidRPr="00310F7E">
        <w:rPr>
          <w:rFonts w:ascii="Times New Roman" w:eastAsia="Times New Roman" w:hAnsi="Times New Roman" w:cs="Times New Roman"/>
          <w:color w:val="000000" w:themeColor="text1"/>
          <w:sz w:val="24"/>
          <w:szCs w:val="24"/>
        </w:rPr>
        <w:t xml:space="preserve">. </w:t>
      </w:r>
      <w:r w:rsidR="0019200A" w:rsidRPr="00310F7E">
        <w:rPr>
          <w:rFonts w:ascii="Times New Roman" w:eastAsia="Times New Roman" w:hAnsi="Times New Roman" w:cs="Times New Roman"/>
          <w:color w:val="000000" w:themeColor="text1"/>
          <w:sz w:val="24"/>
          <w:szCs w:val="24"/>
          <w:lang w:val="uk-UA"/>
        </w:rPr>
        <w:t>В</w:t>
      </w:r>
      <w:r w:rsidRPr="00310F7E">
        <w:rPr>
          <w:rFonts w:ascii="Times New Roman" w:eastAsia="Times New Roman" w:hAnsi="Times New Roman" w:cs="Times New Roman"/>
          <w:color w:val="000000" w:themeColor="text1"/>
          <w:sz w:val="24"/>
          <w:szCs w:val="24"/>
        </w:rPr>
        <w:t xml:space="preserve"> суперечливих ситуаціях самостійна оцінка може піддаватися сумніву.</w:t>
      </w:r>
    </w:p>
    <w:p w:rsidR="0070249D" w:rsidRPr="00310F7E" w:rsidRDefault="0070249D" w:rsidP="0070249D">
      <w:pPr>
        <w:spacing w:after="206" w:line="240" w:lineRule="auto"/>
        <w:rPr>
          <w:rFonts w:ascii="Helvetica" w:eastAsia="Times New Roman" w:hAnsi="Helvetica" w:cs="Times New Roman"/>
          <w:color w:val="000000" w:themeColor="text1"/>
          <w:sz w:val="24"/>
          <w:szCs w:val="24"/>
        </w:rPr>
      </w:pPr>
      <w:r w:rsidRPr="00310F7E">
        <w:rPr>
          <w:rFonts w:ascii="Helvetica" w:eastAsia="Times New Roman" w:hAnsi="Helvetica" w:cs="Times New Roman"/>
          <w:noProof/>
          <w:color w:val="000000" w:themeColor="text1"/>
          <w:sz w:val="24"/>
          <w:szCs w:val="24"/>
        </w:rPr>
        <w:drawing>
          <wp:inline distT="0" distB="0" distL="0" distR="0">
            <wp:extent cx="5534022" cy="4608000"/>
            <wp:effectExtent l="19050" t="0" r="0" b="0"/>
            <wp:docPr id="1" name="Рисунок 1" descr="https://ibuhgalter.net/storage/web/source/1/bb_10_2021_16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uhgalter.net/storage/web/source/1/bb_10_2021_16ua.jpg"/>
                    <pic:cNvPicPr>
                      <a:picLocks noChangeAspect="1" noChangeArrowheads="1"/>
                    </pic:cNvPicPr>
                  </pic:nvPicPr>
                  <pic:blipFill>
                    <a:blip r:embed="rId8"/>
                    <a:srcRect/>
                    <a:stretch>
                      <a:fillRect/>
                    </a:stretch>
                  </pic:blipFill>
                  <pic:spPr bwMode="auto">
                    <a:xfrm>
                      <a:off x="0" y="0"/>
                      <a:ext cx="5534022" cy="4608000"/>
                    </a:xfrm>
                    <a:prstGeom prst="rect">
                      <a:avLst/>
                    </a:prstGeom>
                    <a:noFill/>
                    <a:ln w="9525">
                      <a:noFill/>
                      <a:miter lim="800000"/>
                      <a:headEnd/>
                      <a:tailEnd/>
                    </a:ln>
                  </pic:spPr>
                </pic:pic>
              </a:graphicData>
            </a:graphic>
          </wp:inline>
        </w:drawing>
      </w:r>
    </w:p>
    <w:p w:rsidR="0070249D" w:rsidRPr="00310F7E" w:rsidRDefault="0070249D" w:rsidP="0070249D">
      <w:pPr>
        <w:spacing w:after="0" w:line="240" w:lineRule="auto"/>
        <w:jc w:val="both"/>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Як установі самостійно визначати справедливу вартість?</w:t>
      </w:r>
    </w:p>
    <w:p w:rsidR="0070249D" w:rsidRPr="00310F7E" w:rsidRDefault="0070249D" w:rsidP="0070249D">
      <w:pPr>
        <w:spacing w:after="0" w:line="240" w:lineRule="auto"/>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Порядок визначення справедливої вартості нормативно визначений тільки для біологічних активів і сільськогосподарської продукції (</w:t>
      </w:r>
      <w:r w:rsidRPr="00310F7E">
        <w:rPr>
          <w:rFonts w:ascii="Times New Roman" w:eastAsia="Times New Roman" w:hAnsi="Times New Roman" w:cs="Times New Roman"/>
          <w:i/>
          <w:iCs/>
          <w:color w:val="000000" w:themeColor="text1"/>
          <w:sz w:val="24"/>
          <w:szCs w:val="24"/>
        </w:rPr>
        <w:t>пп. 12, 13 розд. ІІ НС 136 «Біологічні активи»</w:t>
      </w:r>
      <w:r w:rsidRPr="00310F7E">
        <w:rPr>
          <w:rFonts w:ascii="Times New Roman" w:eastAsia="Times New Roman" w:hAnsi="Times New Roman" w:cs="Times New Roman"/>
          <w:color w:val="000000" w:themeColor="text1"/>
          <w:sz w:val="24"/>
          <w:szCs w:val="24"/>
        </w:rPr>
        <w:t>) — див. рис. 3.</w:t>
      </w:r>
    </w:p>
    <w:p w:rsidR="0070249D" w:rsidRPr="00310F7E" w:rsidRDefault="0070249D" w:rsidP="0070249D">
      <w:pPr>
        <w:spacing w:after="206" w:line="240" w:lineRule="auto"/>
        <w:rPr>
          <w:rFonts w:ascii="Helvetica" w:eastAsia="Times New Roman" w:hAnsi="Helvetica" w:cs="Times New Roman"/>
          <w:color w:val="000000" w:themeColor="text1"/>
          <w:sz w:val="24"/>
          <w:szCs w:val="24"/>
        </w:rPr>
      </w:pPr>
      <w:r w:rsidRPr="00310F7E">
        <w:rPr>
          <w:rFonts w:ascii="Helvetica" w:eastAsia="Times New Roman" w:hAnsi="Helvetica" w:cs="Times New Roman"/>
          <w:noProof/>
          <w:color w:val="000000" w:themeColor="text1"/>
          <w:sz w:val="24"/>
          <w:szCs w:val="24"/>
        </w:rPr>
        <w:drawing>
          <wp:inline distT="0" distB="0" distL="0" distR="0">
            <wp:extent cx="5657983" cy="2376000"/>
            <wp:effectExtent l="19050" t="0" r="0" b="0"/>
            <wp:docPr id="2" name="Рисунок 2" descr="Порядок визначення справедливої оцінки для біологічних активів і сільгосппродук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ядок визначення справедливої оцінки для біологічних активів і сільгосппродукції"/>
                    <pic:cNvPicPr>
                      <a:picLocks noChangeAspect="1" noChangeArrowheads="1"/>
                    </pic:cNvPicPr>
                  </pic:nvPicPr>
                  <pic:blipFill>
                    <a:blip r:embed="rId9"/>
                    <a:srcRect/>
                    <a:stretch>
                      <a:fillRect/>
                    </a:stretch>
                  </pic:blipFill>
                  <pic:spPr bwMode="auto">
                    <a:xfrm>
                      <a:off x="0" y="0"/>
                      <a:ext cx="5657983" cy="2376000"/>
                    </a:xfrm>
                    <a:prstGeom prst="rect">
                      <a:avLst/>
                    </a:prstGeom>
                    <a:noFill/>
                    <a:ln w="9525">
                      <a:noFill/>
                      <a:miter lim="800000"/>
                      <a:headEnd/>
                      <a:tailEnd/>
                    </a:ln>
                  </pic:spPr>
                </pic:pic>
              </a:graphicData>
            </a:graphic>
          </wp:inline>
        </w:drawing>
      </w:r>
    </w:p>
    <w:p w:rsidR="0019200A" w:rsidRPr="00310F7E" w:rsidRDefault="0070249D" w:rsidP="0070249D">
      <w:pPr>
        <w:spacing w:after="0" w:line="240" w:lineRule="auto"/>
        <w:ind w:firstLine="567"/>
        <w:jc w:val="both"/>
        <w:rPr>
          <w:rFonts w:ascii="Times New Roman" w:eastAsia="Times New Roman" w:hAnsi="Times New Roman" w:cs="Times New Roman"/>
          <w:color w:val="000000" w:themeColor="text1"/>
          <w:sz w:val="24"/>
          <w:szCs w:val="24"/>
          <w:lang w:val="uk-UA"/>
        </w:rPr>
      </w:pPr>
      <w:r w:rsidRPr="00310F7E">
        <w:rPr>
          <w:rFonts w:ascii="Times New Roman" w:eastAsia="Times New Roman" w:hAnsi="Times New Roman" w:cs="Times New Roman"/>
          <w:color w:val="000000" w:themeColor="text1"/>
          <w:sz w:val="24"/>
          <w:szCs w:val="24"/>
        </w:rPr>
        <w:t>Роз’яснюючи порядок визначення справедливої вартості для інших активів, Мінфін у </w:t>
      </w:r>
      <w:r w:rsidRPr="00310F7E">
        <w:rPr>
          <w:rFonts w:ascii="Times New Roman" w:eastAsia="Times New Roman" w:hAnsi="Times New Roman" w:cs="Times New Roman"/>
          <w:i/>
          <w:iCs/>
          <w:color w:val="000000" w:themeColor="text1"/>
          <w:sz w:val="24"/>
          <w:szCs w:val="24"/>
        </w:rPr>
        <w:t>листі від 12.05.2017 р. № 35220-07/23-1740/1606</w:t>
      </w:r>
      <w:r w:rsidRPr="00310F7E">
        <w:rPr>
          <w:rFonts w:ascii="Times New Roman" w:eastAsia="Times New Roman" w:hAnsi="Times New Roman" w:cs="Times New Roman"/>
          <w:color w:val="000000" w:themeColor="text1"/>
          <w:sz w:val="24"/>
          <w:szCs w:val="24"/>
        </w:rPr>
        <w:t> жодних конкретних рекомендацій, крім визначення справедливої вартості, не навів. Але на момент видання цього листа ще не був чинним </w:t>
      </w:r>
      <w:r w:rsidRPr="00310F7E">
        <w:rPr>
          <w:rFonts w:ascii="Times New Roman" w:eastAsia="Times New Roman" w:hAnsi="Times New Roman" w:cs="Times New Roman"/>
          <w:i/>
          <w:iCs/>
          <w:color w:val="000000" w:themeColor="text1"/>
          <w:sz w:val="24"/>
          <w:szCs w:val="24"/>
        </w:rPr>
        <w:t>НС 136 «Біологічні активи».</w:t>
      </w:r>
      <w:r w:rsidRPr="00310F7E">
        <w:rPr>
          <w:rFonts w:ascii="Times New Roman" w:eastAsia="Times New Roman" w:hAnsi="Times New Roman" w:cs="Times New Roman"/>
          <w:color w:val="000000" w:themeColor="text1"/>
          <w:sz w:val="24"/>
          <w:szCs w:val="24"/>
        </w:rPr>
        <w:t> Виходить, що в інших нацстандартах і бухоблікових законодавчих актах Мінфін не знайшов жодних пояснень. Тож, на нашу думку, логіку </w:t>
      </w:r>
      <w:r w:rsidRPr="00310F7E">
        <w:rPr>
          <w:rFonts w:ascii="Times New Roman" w:eastAsia="Times New Roman" w:hAnsi="Times New Roman" w:cs="Times New Roman"/>
          <w:i/>
          <w:iCs/>
          <w:color w:val="000000" w:themeColor="text1"/>
          <w:sz w:val="24"/>
          <w:szCs w:val="24"/>
        </w:rPr>
        <w:t xml:space="preserve">НС </w:t>
      </w:r>
      <w:r w:rsidRPr="00310F7E">
        <w:rPr>
          <w:rFonts w:ascii="Times New Roman" w:eastAsia="Times New Roman" w:hAnsi="Times New Roman" w:cs="Times New Roman"/>
          <w:i/>
          <w:iCs/>
          <w:color w:val="000000" w:themeColor="text1"/>
          <w:sz w:val="24"/>
          <w:szCs w:val="24"/>
        </w:rPr>
        <w:lastRenderedPageBreak/>
        <w:t>136 «Біологічні активи» </w:t>
      </w:r>
      <w:r w:rsidRPr="00310F7E">
        <w:rPr>
          <w:rFonts w:ascii="Times New Roman" w:eastAsia="Times New Roman" w:hAnsi="Times New Roman" w:cs="Times New Roman"/>
          <w:color w:val="000000" w:themeColor="text1"/>
          <w:sz w:val="24"/>
          <w:szCs w:val="24"/>
        </w:rPr>
        <w:t xml:space="preserve">доречно застосовувати і в разі визначення справедливої вартості й для інших нефінансових активів установи. Прив’язана </w:t>
      </w:r>
      <w:r w:rsidR="0019200A" w:rsidRPr="00310F7E">
        <w:rPr>
          <w:rFonts w:ascii="Times New Roman" w:eastAsia="Times New Roman" w:hAnsi="Times New Roman" w:cs="Times New Roman"/>
          <w:color w:val="000000" w:themeColor="text1"/>
          <w:sz w:val="24"/>
          <w:szCs w:val="24"/>
        </w:rPr>
        <w:t>вона до цін на активному ринку.</w:t>
      </w:r>
    </w:p>
    <w:p w:rsidR="0070249D" w:rsidRPr="00310F7E" w:rsidRDefault="0070249D" w:rsidP="0070249D">
      <w:pPr>
        <w:spacing w:after="0" w:line="240" w:lineRule="auto"/>
        <w:ind w:firstLine="567"/>
        <w:jc w:val="both"/>
        <w:rPr>
          <w:rFonts w:ascii="Times New Roman" w:eastAsia="Times New Roman" w:hAnsi="Times New Roman" w:cs="Times New Roman"/>
          <w:b/>
          <w:i/>
          <w:color w:val="000000" w:themeColor="text1"/>
          <w:sz w:val="24"/>
          <w:szCs w:val="24"/>
        </w:rPr>
      </w:pPr>
      <w:r w:rsidRPr="00310F7E">
        <w:rPr>
          <w:rFonts w:ascii="Times New Roman" w:eastAsia="Times New Roman" w:hAnsi="Times New Roman" w:cs="Times New Roman"/>
          <w:b/>
          <w:i/>
          <w:color w:val="000000" w:themeColor="text1"/>
          <w:sz w:val="24"/>
          <w:szCs w:val="24"/>
        </w:rPr>
        <w:t>Активним ринком є ринок, якому притаманні такі умови (</w:t>
      </w:r>
      <w:r w:rsidRPr="00310F7E">
        <w:rPr>
          <w:rFonts w:ascii="Times New Roman" w:eastAsia="Times New Roman" w:hAnsi="Times New Roman" w:cs="Times New Roman"/>
          <w:b/>
          <w:i/>
          <w:iCs/>
          <w:color w:val="000000" w:themeColor="text1"/>
          <w:sz w:val="24"/>
          <w:szCs w:val="24"/>
        </w:rPr>
        <w:t>п. 4 розд. І НС 121 «Основні засоби»</w:t>
      </w:r>
      <w:r w:rsidRPr="00310F7E">
        <w:rPr>
          <w:rFonts w:ascii="Times New Roman" w:eastAsia="Times New Roman" w:hAnsi="Times New Roman" w:cs="Times New Roman"/>
          <w:b/>
          <w:i/>
          <w:color w:val="000000" w:themeColor="text1"/>
          <w:sz w:val="24"/>
          <w:szCs w:val="24"/>
        </w:rPr>
        <w:t>):</w:t>
      </w:r>
    </w:p>
    <w:p w:rsidR="0070249D" w:rsidRPr="00310F7E" w:rsidRDefault="0070249D" w:rsidP="0070249D">
      <w:pPr>
        <w:numPr>
          <w:ilvl w:val="0"/>
          <w:numId w:val="1"/>
        </w:numPr>
        <w:spacing w:after="0" w:line="240" w:lineRule="auto"/>
        <w:ind w:left="0" w:firstLine="567"/>
        <w:jc w:val="both"/>
        <w:rPr>
          <w:rFonts w:ascii="Times New Roman" w:eastAsia="Times New Roman" w:hAnsi="Times New Roman" w:cs="Times New Roman"/>
          <w:b/>
          <w:i/>
          <w:color w:val="000000" w:themeColor="text1"/>
          <w:sz w:val="24"/>
          <w:szCs w:val="24"/>
        </w:rPr>
      </w:pPr>
      <w:r w:rsidRPr="00310F7E">
        <w:rPr>
          <w:rFonts w:ascii="Times New Roman" w:eastAsia="Times New Roman" w:hAnsi="Times New Roman" w:cs="Times New Roman"/>
          <w:b/>
          <w:i/>
          <w:color w:val="000000" w:themeColor="text1"/>
          <w:sz w:val="24"/>
          <w:szCs w:val="24"/>
        </w:rPr>
        <w:t>предмети, що продаються та купуються на цьому ринку, є однорідними;</w:t>
      </w:r>
    </w:p>
    <w:p w:rsidR="0070249D" w:rsidRPr="00310F7E" w:rsidRDefault="0070249D" w:rsidP="0070249D">
      <w:pPr>
        <w:numPr>
          <w:ilvl w:val="0"/>
          <w:numId w:val="1"/>
        </w:numPr>
        <w:spacing w:after="0" w:line="240" w:lineRule="auto"/>
        <w:ind w:left="0" w:firstLine="567"/>
        <w:jc w:val="both"/>
        <w:rPr>
          <w:rFonts w:ascii="Times New Roman" w:eastAsia="Times New Roman" w:hAnsi="Times New Roman" w:cs="Times New Roman"/>
          <w:b/>
          <w:i/>
          <w:color w:val="000000" w:themeColor="text1"/>
          <w:sz w:val="24"/>
          <w:szCs w:val="24"/>
        </w:rPr>
      </w:pPr>
      <w:r w:rsidRPr="00310F7E">
        <w:rPr>
          <w:rFonts w:ascii="Times New Roman" w:eastAsia="Times New Roman" w:hAnsi="Times New Roman" w:cs="Times New Roman"/>
          <w:b/>
          <w:i/>
          <w:color w:val="000000" w:themeColor="text1"/>
          <w:sz w:val="24"/>
          <w:szCs w:val="24"/>
        </w:rPr>
        <w:t>у будь-який час можна знайти зацікавлених продавців і покупців;</w:t>
      </w:r>
    </w:p>
    <w:p w:rsidR="0070249D" w:rsidRPr="00310F7E" w:rsidRDefault="0070249D" w:rsidP="0070249D">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i/>
          <w:color w:val="000000" w:themeColor="text1"/>
          <w:sz w:val="24"/>
          <w:szCs w:val="24"/>
        </w:rPr>
        <w:t>інформація про ринкові ціни є загальнодоступною</w:t>
      </w:r>
      <w:r w:rsidRPr="00310F7E">
        <w:rPr>
          <w:rFonts w:ascii="Times New Roman" w:eastAsia="Times New Roman" w:hAnsi="Times New Roman" w:cs="Times New Roman"/>
          <w:color w:val="000000" w:themeColor="text1"/>
          <w:sz w:val="24"/>
          <w:szCs w:val="24"/>
        </w:rPr>
        <w:t>.</w:t>
      </w:r>
    </w:p>
    <w:p w:rsidR="0070249D" w:rsidRPr="00310F7E" w:rsidRDefault="0019200A" w:rsidP="0070249D">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lang w:val="uk-UA"/>
        </w:rPr>
        <w:t>В</w:t>
      </w:r>
      <w:r w:rsidR="0070249D" w:rsidRPr="00310F7E">
        <w:rPr>
          <w:rFonts w:ascii="Times New Roman" w:eastAsia="Times New Roman" w:hAnsi="Times New Roman" w:cs="Times New Roman"/>
          <w:color w:val="000000" w:themeColor="text1"/>
          <w:sz w:val="24"/>
          <w:szCs w:val="24"/>
        </w:rPr>
        <w:t xml:space="preserve"> міжнародній практиці (</w:t>
      </w:r>
      <w:r w:rsidR="0070249D" w:rsidRPr="00310F7E">
        <w:rPr>
          <w:rFonts w:ascii="Times New Roman" w:eastAsia="Times New Roman" w:hAnsi="Times New Roman" w:cs="Times New Roman"/>
          <w:i/>
          <w:iCs/>
          <w:color w:val="000000" w:themeColor="text1"/>
          <w:sz w:val="24"/>
          <w:szCs w:val="24"/>
        </w:rPr>
        <w:t>МСФЗ 13 «Оцінка справедливої вартості»</w:t>
      </w:r>
      <w:r w:rsidR="0070249D" w:rsidRPr="00310F7E">
        <w:rPr>
          <w:rFonts w:ascii="Times New Roman" w:eastAsia="Times New Roman" w:hAnsi="Times New Roman" w:cs="Times New Roman"/>
          <w:color w:val="000000" w:themeColor="text1"/>
          <w:sz w:val="24"/>
          <w:szCs w:val="24"/>
        </w:rPr>
        <w:t>) для оцінки об’єктів, в яких немає активного ринку, коли через специфіку використання дуже важко визначити можливу ціну продажу, є ще два підходи:</w:t>
      </w:r>
    </w:p>
    <w:p w:rsidR="0070249D" w:rsidRPr="00310F7E" w:rsidRDefault="0070249D" w:rsidP="0070249D">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i/>
          <w:color w:val="000000" w:themeColor="text1"/>
          <w:sz w:val="24"/>
          <w:szCs w:val="24"/>
        </w:rPr>
        <w:t>витратний підхід</w:t>
      </w:r>
      <w:r w:rsidRPr="00310F7E">
        <w:rPr>
          <w:rFonts w:ascii="Times New Roman" w:eastAsia="Times New Roman" w:hAnsi="Times New Roman" w:cs="Times New Roman"/>
          <w:color w:val="000000" w:themeColor="text1"/>
          <w:sz w:val="24"/>
          <w:szCs w:val="24"/>
        </w:rPr>
        <w:t xml:space="preserve"> — визначити можливу ціну придбання;</w:t>
      </w:r>
    </w:p>
    <w:p w:rsidR="0070249D" w:rsidRPr="00310F7E" w:rsidRDefault="0070249D" w:rsidP="0070249D">
      <w:pPr>
        <w:numPr>
          <w:ilvl w:val="0"/>
          <w:numId w:val="2"/>
        </w:numPr>
        <w:spacing w:after="0" w:line="240" w:lineRule="auto"/>
        <w:ind w:left="0"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i/>
          <w:color w:val="000000" w:themeColor="text1"/>
          <w:sz w:val="24"/>
          <w:szCs w:val="24"/>
        </w:rPr>
        <w:t>дохідний підхід</w:t>
      </w:r>
      <w:r w:rsidRPr="00310F7E">
        <w:rPr>
          <w:rFonts w:ascii="Times New Roman" w:eastAsia="Times New Roman" w:hAnsi="Times New Roman" w:cs="Times New Roman"/>
          <w:color w:val="000000" w:themeColor="text1"/>
          <w:sz w:val="24"/>
          <w:szCs w:val="24"/>
        </w:rPr>
        <w:t xml:space="preserve"> — визначити очікувану суму дисконтованих грошових потоків.</w:t>
      </w:r>
    </w:p>
    <w:p w:rsidR="0070249D" w:rsidRPr="00310F7E" w:rsidRDefault="0070249D" w:rsidP="0070249D">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Вважаємо, з огляду на те, що нацстандарти розробляли на базі міжнародних стандартів, можна користуватися і цими підходами.</w:t>
      </w:r>
    </w:p>
    <w:p w:rsidR="0070249D" w:rsidRPr="00310F7E" w:rsidRDefault="0070249D" w:rsidP="0070249D">
      <w:pPr>
        <w:spacing w:after="0" w:line="240" w:lineRule="auto"/>
        <w:ind w:firstLine="567"/>
        <w:jc w:val="both"/>
        <w:rPr>
          <w:rFonts w:ascii="Times New Roman" w:eastAsia="Times New Roman" w:hAnsi="Times New Roman" w:cs="Times New Roman"/>
          <w:b/>
          <w:bCs/>
          <w:color w:val="000000" w:themeColor="text1"/>
          <w:sz w:val="24"/>
          <w:szCs w:val="24"/>
        </w:rPr>
      </w:pPr>
      <w:r w:rsidRPr="00310F7E">
        <w:rPr>
          <w:rFonts w:ascii="Times New Roman" w:eastAsia="Times New Roman" w:hAnsi="Times New Roman" w:cs="Times New Roman"/>
          <w:b/>
          <w:bCs/>
          <w:color w:val="000000" w:themeColor="text1"/>
          <w:sz w:val="24"/>
          <w:szCs w:val="24"/>
        </w:rPr>
        <w:t>Оформлення оцінки</w:t>
      </w:r>
    </w:p>
    <w:p w:rsidR="0070249D" w:rsidRPr="00310F7E" w:rsidRDefault="0070249D" w:rsidP="0070249D">
      <w:pPr>
        <w:spacing w:after="0" w:line="240" w:lineRule="auto"/>
        <w:ind w:firstLine="567"/>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Результат оціночних робіт незалежного експерта оформлюють у вигляді звіту, який має строк придатності — 1 рік. Вимоги до оформлення такого звіту встановлені оціночним законодавством, але оскільки це обов’язок експерта — оформити належним чином, то зупинятися на цьому не будемо.</w:t>
      </w:r>
    </w:p>
    <w:p w:rsidR="0070249D" w:rsidRPr="00310F7E" w:rsidRDefault="0070249D" w:rsidP="0070249D">
      <w:pPr>
        <w:spacing w:after="0" w:line="240" w:lineRule="auto"/>
        <w:ind w:firstLine="567"/>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Вимог до оформлення результату оціночних робіт працівників установи на законодавчому рівні немає, тому допустимим є документ довільної форми. Але для того, щоб мати змогу відобразити на підставі нього запис у бухобліку, радимо навести в цьому документі всі реквізити первинного документа, які вимагаються </w:t>
      </w:r>
      <w:r w:rsidRPr="00310F7E">
        <w:rPr>
          <w:rFonts w:ascii="Times New Roman" w:eastAsia="Times New Roman" w:hAnsi="Times New Roman" w:cs="Times New Roman"/>
          <w:i/>
          <w:iCs/>
          <w:color w:val="000000" w:themeColor="text1"/>
          <w:sz w:val="24"/>
          <w:szCs w:val="24"/>
        </w:rPr>
        <w:t>ч. 2 ст. 9 Закону про бухоблік</w:t>
      </w:r>
      <w:r w:rsidRPr="00310F7E">
        <w:rPr>
          <w:rFonts w:ascii="Times New Roman" w:eastAsia="Times New Roman" w:hAnsi="Times New Roman" w:cs="Times New Roman"/>
          <w:color w:val="000000" w:themeColor="text1"/>
          <w:sz w:val="24"/>
          <w:szCs w:val="24"/>
        </w:rPr>
        <w:t xml:space="preserve">. </w:t>
      </w:r>
    </w:p>
    <w:p w:rsidR="0070249D" w:rsidRPr="00310F7E" w:rsidRDefault="0070249D" w:rsidP="0070249D">
      <w:pPr>
        <w:spacing w:after="206" w:line="240" w:lineRule="auto"/>
        <w:rPr>
          <w:rFonts w:ascii="Helvetica" w:eastAsia="Times New Roman" w:hAnsi="Helvetica" w:cs="Times New Roman"/>
          <w:color w:val="000000" w:themeColor="text1"/>
          <w:sz w:val="24"/>
          <w:szCs w:val="24"/>
          <w:lang w:val="uk-UA"/>
        </w:rPr>
      </w:pPr>
      <w:r w:rsidRPr="00310F7E">
        <w:rPr>
          <w:rFonts w:ascii="Helvetica" w:eastAsia="Times New Roman" w:hAnsi="Helvetica" w:cs="Times New Roman"/>
          <w:noProof/>
          <w:color w:val="000000" w:themeColor="text1"/>
          <w:sz w:val="24"/>
          <w:szCs w:val="24"/>
        </w:rPr>
        <w:drawing>
          <wp:inline distT="0" distB="0" distL="0" distR="0">
            <wp:extent cx="5427726" cy="3640074"/>
            <wp:effectExtent l="19050" t="0" r="1524" b="0"/>
            <wp:docPr id="3" name="Рисунок 3" descr="Приклад акта оцінки м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клад акта оцінки майна"/>
                    <pic:cNvPicPr>
                      <a:picLocks noChangeAspect="1" noChangeArrowheads="1"/>
                    </pic:cNvPicPr>
                  </pic:nvPicPr>
                  <pic:blipFill>
                    <a:blip r:embed="rId10"/>
                    <a:srcRect/>
                    <a:stretch>
                      <a:fillRect/>
                    </a:stretch>
                  </pic:blipFill>
                  <pic:spPr bwMode="auto">
                    <a:xfrm>
                      <a:off x="0" y="0"/>
                      <a:ext cx="5427726" cy="3640074"/>
                    </a:xfrm>
                    <a:prstGeom prst="rect">
                      <a:avLst/>
                    </a:prstGeom>
                    <a:noFill/>
                    <a:ln w="9525">
                      <a:noFill/>
                      <a:miter lim="800000"/>
                      <a:headEnd/>
                      <a:tailEnd/>
                    </a:ln>
                  </pic:spPr>
                </pic:pic>
              </a:graphicData>
            </a:graphic>
          </wp:inline>
        </w:drawing>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lang w:val="uk-UA"/>
        </w:rPr>
      </w:pPr>
    </w:p>
    <w:p w:rsidR="0019200A" w:rsidRPr="00310F7E" w:rsidRDefault="0019200A" w:rsidP="0019200A">
      <w:pPr>
        <w:spacing w:after="0" w:line="240" w:lineRule="auto"/>
        <w:jc w:val="center"/>
        <w:rPr>
          <w:rFonts w:ascii="Times New Roman" w:eastAsia="Times New Roman" w:hAnsi="Times New Roman" w:cs="Times New Roman"/>
          <w:b/>
          <w:color w:val="000000" w:themeColor="text1"/>
          <w:sz w:val="24"/>
          <w:szCs w:val="24"/>
        </w:rPr>
      </w:pPr>
      <w:r w:rsidRPr="00310F7E">
        <w:rPr>
          <w:rFonts w:ascii="Times New Roman" w:eastAsia="Times New Roman" w:hAnsi="Times New Roman" w:cs="Times New Roman"/>
          <w:b/>
          <w:color w:val="000000" w:themeColor="text1"/>
          <w:sz w:val="24"/>
          <w:szCs w:val="24"/>
          <w:lang w:val="uk-UA"/>
        </w:rPr>
        <w:t>2.</w:t>
      </w:r>
      <w:r w:rsidRPr="00310F7E">
        <w:rPr>
          <w:rFonts w:ascii="Times New Roman" w:eastAsia="Times New Roman" w:hAnsi="Times New Roman" w:cs="Times New Roman"/>
          <w:b/>
          <w:color w:val="000000" w:themeColor="text1"/>
          <w:sz w:val="24"/>
          <w:szCs w:val="24"/>
        </w:rPr>
        <w:t xml:space="preserve"> Переоцінка ОЗ в бюджетних установах: процедурні аспекти й облікові нюанси</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lang w:val="uk-UA"/>
        </w:rPr>
      </w:pP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lang w:val="uk-UA"/>
        </w:rPr>
      </w:pPr>
      <w:r w:rsidRPr="00310F7E">
        <w:rPr>
          <w:rFonts w:ascii="Times New Roman" w:eastAsia="Times New Roman" w:hAnsi="Times New Roman" w:cs="Times New Roman"/>
          <w:color w:val="000000" w:themeColor="text1"/>
          <w:sz w:val="24"/>
          <w:szCs w:val="24"/>
          <w:lang w:val="uk-UA"/>
        </w:rPr>
        <w:t>Головними нормативними документами, які на сьогодні регулюють питання формування в бухобліку та фінзвітності інформації щодо переоцінки об'єктів основних засобів, є</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color w:val="000000" w:themeColor="text1"/>
          <w:sz w:val="24"/>
          <w:szCs w:val="24"/>
          <w:lang w:val="uk-UA"/>
        </w:rPr>
        <w:t>НП(С)БОдс 121</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color w:val="000000" w:themeColor="text1"/>
          <w:sz w:val="24"/>
          <w:szCs w:val="24"/>
          <w:lang w:val="uk-UA"/>
        </w:rPr>
        <w:t>та</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color w:val="000000" w:themeColor="text1"/>
          <w:sz w:val="24"/>
          <w:szCs w:val="24"/>
          <w:lang w:val="uk-UA"/>
        </w:rPr>
        <w:t>Методрекомендації № 11.</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lastRenderedPageBreak/>
        <w:t>Саме в цих документах потрібно шукати відповіді на більшість "переоціночних" питань.</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lang w:val="uk-UA"/>
        </w:rPr>
        <w:t>С</w:t>
      </w:r>
      <w:r w:rsidRPr="00310F7E">
        <w:rPr>
          <w:rFonts w:ascii="Times New Roman" w:eastAsia="Times New Roman" w:hAnsi="Times New Roman" w:cs="Times New Roman"/>
          <w:color w:val="000000" w:themeColor="text1"/>
          <w:sz w:val="24"/>
          <w:szCs w:val="24"/>
        </w:rPr>
        <w:t>тандартний випадок вирішення питання про проведення переоцінки вимагає спиратися на показник "суттєвості". Це означає, що у випадку з переоцінкою бухстандарт встановлює певний </w:t>
      </w:r>
      <w:r w:rsidRPr="00310F7E">
        <w:rPr>
          <w:rFonts w:ascii="Times New Roman" w:eastAsia="Times New Roman" w:hAnsi="Times New Roman" w:cs="Times New Roman"/>
          <w:b/>
          <w:bCs/>
          <w:color w:val="000000" w:themeColor="text1"/>
          <w:sz w:val="24"/>
          <w:szCs w:val="24"/>
        </w:rPr>
        <w:t>поріг суттєвості</w:t>
      </w:r>
      <w:r w:rsidRPr="00310F7E">
        <w:rPr>
          <w:rFonts w:ascii="Times New Roman" w:eastAsia="Times New Roman" w:hAnsi="Times New Roman" w:cs="Times New Roman"/>
          <w:color w:val="000000" w:themeColor="text1"/>
          <w:sz w:val="24"/>
          <w:szCs w:val="24"/>
        </w:rPr>
        <w:t>, а саме: </w:t>
      </w:r>
      <w:r w:rsidRPr="00310F7E">
        <w:rPr>
          <w:rFonts w:ascii="Times New Roman" w:eastAsia="Times New Roman" w:hAnsi="Times New Roman" w:cs="Times New Roman"/>
          <w:b/>
          <w:bCs/>
          <w:color w:val="000000" w:themeColor="text1"/>
          <w:sz w:val="24"/>
          <w:szCs w:val="24"/>
        </w:rPr>
        <w:t>10-відсоткове відхилення залишкової вартості від справедливої</w:t>
      </w:r>
      <w:r w:rsidRPr="00310F7E">
        <w:rPr>
          <w:rFonts w:ascii="Times New Roman" w:eastAsia="Times New Roman" w:hAnsi="Times New Roman" w:cs="Times New Roman"/>
          <w:color w:val="000000" w:themeColor="text1"/>
          <w:sz w:val="24"/>
          <w:szCs w:val="24"/>
        </w:rPr>
        <w:t> вартості об'єкта ОЗ (п. 4 розд. ІІІ НП(С)БОдс 121).</w:t>
      </w:r>
    </w:p>
    <w:p w:rsidR="0019200A" w:rsidRPr="00310F7E" w:rsidRDefault="0019200A" w:rsidP="0019200A">
      <w:pPr>
        <w:spacing w:after="0" w:line="240" w:lineRule="auto"/>
        <w:ind w:firstLine="567"/>
        <w:jc w:val="both"/>
        <w:rPr>
          <w:rFonts w:ascii="Times New Roman" w:eastAsia="Times New Roman" w:hAnsi="Times New Roman" w:cs="Times New Roman"/>
          <w:i/>
          <w:color w:val="000000" w:themeColor="text1"/>
          <w:sz w:val="24"/>
          <w:szCs w:val="24"/>
        </w:rPr>
      </w:pPr>
      <w:r w:rsidRPr="00310F7E">
        <w:rPr>
          <w:rFonts w:ascii="Times New Roman" w:eastAsia="Times New Roman" w:hAnsi="Times New Roman" w:cs="Times New Roman"/>
          <w:i/>
          <w:color w:val="000000" w:themeColor="text1"/>
          <w:sz w:val="24"/>
          <w:szCs w:val="24"/>
        </w:rPr>
        <w:t>Не підлягають переоцінці МНМА та бібліотечні фонди, якщо амортизацію їхньої вартості здійснюють за методом "50 % / 50 %" (тобто коли амортизацію в розмірі 50 % первісної вартості нараховують у першому місяці передання у використання, а решту 50 % – у місяці вилучення з активів).</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По-третє, переоцінку ОЗ потрібно здійснювати </w:t>
      </w:r>
      <w:r w:rsidRPr="00310F7E">
        <w:rPr>
          <w:rFonts w:ascii="Times New Roman" w:eastAsia="Times New Roman" w:hAnsi="Times New Roman" w:cs="Times New Roman"/>
          <w:b/>
          <w:bCs/>
          <w:color w:val="000000" w:themeColor="text1"/>
          <w:sz w:val="24"/>
          <w:szCs w:val="24"/>
        </w:rPr>
        <w:t>на річну дату балансу</w:t>
      </w:r>
      <w:r w:rsidRPr="00310F7E">
        <w:rPr>
          <w:rFonts w:ascii="Times New Roman" w:eastAsia="Times New Roman" w:hAnsi="Times New Roman" w:cs="Times New Roman"/>
          <w:color w:val="000000" w:themeColor="text1"/>
          <w:sz w:val="24"/>
          <w:szCs w:val="24"/>
        </w:rPr>
        <w:t>, тобто наприкінці календарного року.</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i/>
          <w:color w:val="000000" w:themeColor="text1"/>
          <w:sz w:val="24"/>
          <w:szCs w:val="24"/>
        </w:rPr>
        <w:t>Надалі переоцінку об'єктів тієї групи, що раніше вже були переоцінені, необхідно проводити з такою регулярністю, щоб їхня залишкова вартість на річну дату суттєво не відрізнялася від справедливої</w:t>
      </w:r>
      <w:r w:rsidRPr="00310F7E">
        <w:rPr>
          <w:rFonts w:ascii="Times New Roman" w:eastAsia="Times New Roman" w:hAnsi="Times New Roman" w:cs="Times New Roman"/>
          <w:color w:val="000000" w:themeColor="text1"/>
          <w:sz w:val="24"/>
          <w:szCs w:val="24"/>
        </w:rPr>
        <w:t xml:space="preserve"> (п. 2 розд. ІІІ Методрекомендацій № 11).</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Варто також пам'ятати, що в разі переоцінки ОЗ </w:t>
      </w:r>
      <w:r w:rsidRPr="00310F7E">
        <w:rPr>
          <w:rFonts w:ascii="Times New Roman" w:eastAsia="Times New Roman" w:hAnsi="Times New Roman" w:cs="Times New Roman"/>
          <w:b/>
          <w:bCs/>
          <w:color w:val="000000" w:themeColor="text1"/>
          <w:sz w:val="24"/>
          <w:szCs w:val="24"/>
        </w:rPr>
        <w:t>одночасно потрібно здійснювати переоцінку всіх об'єктів відповідної групи ОЗ</w:t>
      </w:r>
      <w:r w:rsidRPr="00310F7E">
        <w:rPr>
          <w:rFonts w:ascii="Times New Roman" w:eastAsia="Times New Roman" w:hAnsi="Times New Roman" w:cs="Times New Roman"/>
          <w:color w:val="000000" w:themeColor="text1"/>
          <w:sz w:val="24"/>
          <w:szCs w:val="24"/>
        </w:rPr>
        <w:t>*.</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Під групою необхідно розуміти сукупність однотипних за технічними характеристиками, призначенням та умовами використання ОЗ.</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Класифікувати ОЗ можна за групами, передбаченими Методрекомендаціями № 11, або в разі глибшої їх деталізації – за самостійно розробленою класифікацією. Вищий пілотаж – зафіксувати таку класифікацію в розпорядчому документі про облікову політику установи.</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Хто вирішує, проводити переоцінку чи ні?</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Рішення щодо переоцінки </w:t>
      </w:r>
      <w:r w:rsidRPr="00310F7E">
        <w:rPr>
          <w:rFonts w:ascii="Times New Roman" w:eastAsia="Times New Roman" w:hAnsi="Times New Roman" w:cs="Times New Roman"/>
          <w:b/>
          <w:bCs/>
          <w:color w:val="000000" w:themeColor="text1"/>
          <w:sz w:val="24"/>
          <w:szCs w:val="24"/>
        </w:rPr>
        <w:t>ухвалює безпосередньо керівник бюджетної установи</w:t>
      </w:r>
      <w:r w:rsidRPr="00310F7E">
        <w:rPr>
          <w:rFonts w:ascii="Times New Roman" w:eastAsia="Times New Roman" w:hAnsi="Times New Roman" w:cs="Times New Roman"/>
          <w:color w:val="000000" w:themeColor="text1"/>
          <w:sz w:val="24"/>
          <w:szCs w:val="24"/>
        </w:rPr>
        <w:t>. Проте </w:t>
      </w:r>
      <w:r w:rsidRPr="00310F7E">
        <w:rPr>
          <w:rFonts w:ascii="Times New Roman" w:eastAsia="Times New Roman" w:hAnsi="Times New Roman" w:cs="Times New Roman"/>
          <w:b/>
          <w:bCs/>
          <w:color w:val="000000" w:themeColor="text1"/>
          <w:sz w:val="24"/>
          <w:szCs w:val="24"/>
        </w:rPr>
        <w:t>таке рішення необхідно обов'язково погодити</w:t>
      </w:r>
      <w:r w:rsidRPr="00310F7E">
        <w:rPr>
          <w:rFonts w:ascii="Times New Roman" w:eastAsia="Times New Roman" w:hAnsi="Times New Roman" w:cs="Times New Roman"/>
          <w:color w:val="000000" w:themeColor="text1"/>
          <w:sz w:val="24"/>
          <w:szCs w:val="24"/>
        </w:rPr>
        <w:t> з органом, уповноваженим управляти об'єктами державної (комунальної) власності. На цьому наполягає абз. 4 п. 3 розд. ІІІ НП(С)БОдс 121.</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Інакше кажучи, установи нижчого рівня погоджують таке рішення з установами вищого рівня за відомчою підпорядкованістю.</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Установи подвійного підпорядкування зобов'язані погоджувати рішення щодо переоцінки з установою вищого рівня, яка затверджує кошторис (п. 1 розд. VII Методрекомендацій № 11).</w:t>
      </w:r>
    </w:p>
    <w:p w:rsidR="0019200A" w:rsidRPr="00310F7E" w:rsidRDefault="0019200A" w:rsidP="0019200A">
      <w:pPr>
        <w:spacing w:after="0" w:line="240" w:lineRule="auto"/>
        <w:ind w:firstLine="567"/>
        <w:jc w:val="both"/>
        <w:rPr>
          <w:rFonts w:ascii="Times New Roman" w:eastAsia="Times New Roman" w:hAnsi="Times New Roman" w:cs="Times New Roman"/>
          <w:b/>
          <w:i/>
          <w:color w:val="000000" w:themeColor="text1"/>
          <w:sz w:val="24"/>
          <w:szCs w:val="24"/>
        </w:rPr>
      </w:pPr>
      <w:r w:rsidRPr="00310F7E">
        <w:rPr>
          <w:rFonts w:ascii="Times New Roman" w:eastAsia="Times New Roman" w:hAnsi="Times New Roman" w:cs="Times New Roman"/>
          <w:b/>
          <w:i/>
          <w:color w:val="000000" w:themeColor="text1"/>
          <w:sz w:val="24"/>
          <w:szCs w:val="24"/>
          <w:lang w:val="uk-UA"/>
        </w:rPr>
        <w:t>Д</w:t>
      </w:r>
      <w:r w:rsidRPr="00310F7E">
        <w:rPr>
          <w:rFonts w:ascii="Times New Roman" w:eastAsia="Times New Roman" w:hAnsi="Times New Roman" w:cs="Times New Roman"/>
          <w:b/>
          <w:i/>
          <w:color w:val="000000" w:themeColor="text1"/>
          <w:sz w:val="24"/>
          <w:szCs w:val="24"/>
        </w:rPr>
        <w:t>ля оцінки об'єктів ОЗ </w:t>
      </w:r>
      <w:r w:rsidRPr="00310F7E">
        <w:rPr>
          <w:rFonts w:ascii="Times New Roman" w:eastAsia="Times New Roman" w:hAnsi="Times New Roman" w:cs="Times New Roman"/>
          <w:b/>
          <w:bCs/>
          <w:i/>
          <w:color w:val="000000" w:themeColor="text1"/>
          <w:sz w:val="24"/>
          <w:szCs w:val="24"/>
        </w:rPr>
        <w:t>потрібно звернутися до професійного оцінювача</w:t>
      </w:r>
      <w:r w:rsidRPr="00310F7E">
        <w:rPr>
          <w:rFonts w:ascii="Times New Roman" w:eastAsia="Times New Roman" w:hAnsi="Times New Roman" w:cs="Times New Roman"/>
          <w:b/>
          <w:i/>
          <w:color w:val="000000" w:themeColor="text1"/>
          <w:sz w:val="24"/>
          <w:szCs w:val="24"/>
        </w:rPr>
        <w:t>. Таку вимогу встановлено абз. 7 ч. 2 ст. 7 Закону № 2658.</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Відповідно до ст. 5 Закону № 2658 до таких професіоналів належать:</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xml:space="preserve">• 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їхньої організаційно-правової форми та форми власності, які здійснюють господарську діяльність, у складі </w:t>
      </w:r>
      <w:r w:rsidRPr="00310F7E">
        <w:rPr>
          <w:rFonts w:ascii="Times New Roman" w:eastAsia="Times New Roman" w:hAnsi="Times New Roman" w:cs="Times New Roman"/>
          <w:b/>
          <w:i/>
          <w:color w:val="000000" w:themeColor="text1"/>
          <w:sz w:val="24"/>
          <w:szCs w:val="24"/>
        </w:rPr>
        <w:t>яких працює хоча б один оцінювач та які отримали сертифікат суб'єкта оціночної діяльності відповідно до Закону № 2658;</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органи державної влади й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в комунальній власності, і в складі яких працюють оцінювачі.</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Результати оцінки має бути підтверджено відповідним </w:t>
      </w:r>
      <w:r w:rsidRPr="00310F7E">
        <w:rPr>
          <w:rFonts w:ascii="Times New Roman" w:eastAsia="Times New Roman" w:hAnsi="Times New Roman" w:cs="Times New Roman"/>
          <w:b/>
          <w:bCs/>
          <w:color w:val="000000" w:themeColor="text1"/>
          <w:sz w:val="24"/>
          <w:szCs w:val="24"/>
        </w:rPr>
        <w:t>звітом про оцінку майна (актом оцінки майна)</w:t>
      </w:r>
      <w:r w:rsidRPr="00310F7E">
        <w:rPr>
          <w:rFonts w:ascii="Times New Roman" w:eastAsia="Times New Roman" w:hAnsi="Times New Roman" w:cs="Times New Roman"/>
          <w:color w:val="000000" w:themeColor="text1"/>
          <w:sz w:val="24"/>
          <w:szCs w:val="24"/>
        </w:rPr>
        <w:t>, підписаним оцінювачем і керівником суб'єкта оціночної діяльності (ст. 12 Закону № 2658). Власне, справедлива вартість, указана в цьому звіті, і буде взята за основу для подальшої переоцінки ОЗ.</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Переоцінену вартість і суму зносу визначають </w:t>
      </w:r>
      <w:r w:rsidRPr="00310F7E">
        <w:rPr>
          <w:rFonts w:ascii="Times New Roman" w:eastAsia="Times New Roman" w:hAnsi="Times New Roman" w:cs="Times New Roman"/>
          <w:b/>
          <w:bCs/>
          <w:color w:val="000000" w:themeColor="text1"/>
          <w:sz w:val="24"/>
          <w:szCs w:val="24"/>
        </w:rPr>
        <w:t>множенням</w:t>
      </w:r>
      <w:r w:rsidRPr="00310F7E">
        <w:rPr>
          <w:rFonts w:ascii="Times New Roman" w:eastAsia="Times New Roman" w:hAnsi="Times New Roman" w:cs="Times New Roman"/>
          <w:color w:val="000000" w:themeColor="text1"/>
          <w:sz w:val="24"/>
          <w:szCs w:val="24"/>
        </w:rPr>
        <w:t> відповідно </w:t>
      </w:r>
      <w:r w:rsidRPr="00310F7E">
        <w:rPr>
          <w:rFonts w:ascii="Times New Roman" w:eastAsia="Times New Roman" w:hAnsi="Times New Roman" w:cs="Times New Roman"/>
          <w:b/>
          <w:bCs/>
          <w:color w:val="000000" w:themeColor="text1"/>
          <w:sz w:val="24"/>
          <w:szCs w:val="24"/>
        </w:rPr>
        <w:t xml:space="preserve">первісної </w:t>
      </w:r>
      <w:r w:rsidRPr="00310F7E">
        <w:rPr>
          <w:rFonts w:ascii="Times New Roman" w:eastAsia="Times New Roman" w:hAnsi="Times New Roman" w:cs="Times New Roman"/>
          <w:color w:val="000000" w:themeColor="text1"/>
          <w:sz w:val="24"/>
          <w:szCs w:val="24"/>
        </w:rPr>
        <w:t>У результаті переоцінки вартість об'єкта ОЗ може збільшитися (</w:t>
      </w:r>
      <w:r w:rsidRPr="00310F7E">
        <w:rPr>
          <w:rFonts w:ascii="Times New Roman" w:eastAsia="Times New Roman" w:hAnsi="Times New Roman" w:cs="Times New Roman"/>
          <w:b/>
          <w:bCs/>
          <w:color w:val="000000" w:themeColor="text1"/>
          <w:sz w:val="24"/>
          <w:szCs w:val="24"/>
        </w:rPr>
        <w:t>дооцінка</w:t>
      </w:r>
      <w:r w:rsidRPr="00310F7E">
        <w:rPr>
          <w:rFonts w:ascii="Times New Roman" w:eastAsia="Times New Roman" w:hAnsi="Times New Roman" w:cs="Times New Roman"/>
          <w:color w:val="000000" w:themeColor="text1"/>
          <w:sz w:val="24"/>
          <w:szCs w:val="24"/>
        </w:rPr>
        <w:t>) або зменшитися (</w:t>
      </w:r>
      <w:r w:rsidRPr="00310F7E">
        <w:rPr>
          <w:rFonts w:ascii="Times New Roman" w:eastAsia="Times New Roman" w:hAnsi="Times New Roman" w:cs="Times New Roman"/>
          <w:b/>
          <w:bCs/>
          <w:color w:val="000000" w:themeColor="text1"/>
          <w:sz w:val="24"/>
          <w:szCs w:val="24"/>
        </w:rPr>
        <w:t>уцінка</w:t>
      </w:r>
      <w:r w:rsidRPr="00310F7E">
        <w:rPr>
          <w:rFonts w:ascii="Times New Roman" w:eastAsia="Times New Roman" w:hAnsi="Times New Roman" w:cs="Times New Roman"/>
          <w:color w:val="000000" w:themeColor="text1"/>
          <w:sz w:val="24"/>
          <w:szCs w:val="24"/>
        </w:rPr>
        <w:t xml:space="preserve">). Для цього потрібно порівняти первісну вартість майна до проведення </w:t>
      </w:r>
      <w:r w:rsidRPr="00310F7E">
        <w:rPr>
          <w:rFonts w:ascii="Times New Roman" w:eastAsia="Times New Roman" w:hAnsi="Times New Roman" w:cs="Times New Roman"/>
          <w:color w:val="000000" w:themeColor="text1"/>
          <w:sz w:val="24"/>
          <w:szCs w:val="24"/>
        </w:rPr>
        <w:lastRenderedPageBreak/>
        <w:t>переоцінки з його переоціненою вартістю та водночас порівняти відповідні суми зносу (до й після їх переоцінки).</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lang w:val="uk-UA"/>
        </w:rPr>
        <w:t>Я</w:t>
      </w:r>
      <w:r w:rsidRPr="00310F7E">
        <w:rPr>
          <w:rFonts w:ascii="Times New Roman" w:eastAsia="Times New Roman" w:hAnsi="Times New Roman" w:cs="Times New Roman"/>
          <w:b/>
          <w:bCs/>
          <w:color w:val="000000" w:themeColor="text1"/>
          <w:sz w:val="24"/>
          <w:szCs w:val="24"/>
        </w:rPr>
        <w:t>кщо залишкова вартість ОЗ дорівнює нулю</w:t>
      </w:r>
      <w:r w:rsidRPr="00310F7E">
        <w:rPr>
          <w:rFonts w:ascii="Times New Roman" w:eastAsia="Times New Roman" w:hAnsi="Times New Roman" w:cs="Times New Roman"/>
          <w:color w:val="000000" w:themeColor="text1"/>
          <w:sz w:val="24"/>
          <w:szCs w:val="24"/>
        </w:rPr>
        <w:t>, то його переоцінену залишкову вартість потрібно визначати </w:t>
      </w:r>
      <w:r w:rsidRPr="00310F7E">
        <w:rPr>
          <w:rFonts w:ascii="Times New Roman" w:eastAsia="Times New Roman" w:hAnsi="Times New Roman" w:cs="Times New Roman"/>
          <w:b/>
          <w:bCs/>
          <w:color w:val="000000" w:themeColor="text1"/>
          <w:sz w:val="24"/>
          <w:szCs w:val="24"/>
        </w:rPr>
        <w:t>додаванням справедливої вартості цього об'єкта до його первісної вартості без зміни суми зносу</w:t>
      </w:r>
      <w:r w:rsidRPr="00310F7E">
        <w:rPr>
          <w:rFonts w:ascii="Times New Roman" w:eastAsia="Times New Roman" w:hAnsi="Times New Roman" w:cs="Times New Roman"/>
          <w:color w:val="000000" w:themeColor="text1"/>
          <w:sz w:val="24"/>
          <w:szCs w:val="24"/>
        </w:rPr>
        <w:t> (абз. 2 п. 4 розд. VII Методрекомендацій № 11).</w:t>
      </w:r>
    </w:p>
    <w:p w:rsidR="0019200A" w:rsidRPr="00310F7E" w:rsidRDefault="0019200A" w:rsidP="0019200A">
      <w:pPr>
        <w:spacing w:after="0" w:line="240" w:lineRule="auto"/>
        <w:ind w:firstLine="567"/>
        <w:jc w:val="both"/>
        <w:rPr>
          <w:rFonts w:ascii="Times New Roman" w:eastAsia="Times New Roman" w:hAnsi="Times New Roman" w:cs="Times New Roman"/>
          <w:b/>
          <w:i/>
          <w:color w:val="000000" w:themeColor="text1"/>
          <w:sz w:val="24"/>
          <w:szCs w:val="24"/>
        </w:rPr>
      </w:pPr>
      <w:r w:rsidRPr="00310F7E">
        <w:rPr>
          <w:rFonts w:ascii="Times New Roman" w:eastAsia="Times New Roman" w:hAnsi="Times New Roman" w:cs="Times New Roman"/>
          <w:color w:val="000000" w:themeColor="text1"/>
          <w:sz w:val="24"/>
          <w:szCs w:val="24"/>
        </w:rPr>
        <w:t>Нагадаємо, що </w:t>
      </w:r>
      <w:r w:rsidRPr="00310F7E">
        <w:rPr>
          <w:rFonts w:ascii="Times New Roman" w:eastAsia="Times New Roman" w:hAnsi="Times New Roman" w:cs="Times New Roman"/>
          <w:b/>
          <w:bCs/>
          <w:color w:val="000000" w:themeColor="text1"/>
          <w:sz w:val="24"/>
          <w:szCs w:val="24"/>
        </w:rPr>
        <w:t xml:space="preserve">переоцінені </w:t>
      </w:r>
      <w:r w:rsidRPr="00310F7E">
        <w:rPr>
          <w:rFonts w:ascii="Times New Roman" w:eastAsia="Times New Roman" w:hAnsi="Times New Roman" w:cs="Times New Roman"/>
          <w:b/>
          <w:bCs/>
          <w:i/>
          <w:color w:val="000000" w:themeColor="text1"/>
          <w:sz w:val="24"/>
          <w:szCs w:val="24"/>
        </w:rPr>
        <w:t>об'єкти</w:t>
      </w:r>
      <w:r w:rsidRPr="00310F7E">
        <w:rPr>
          <w:rFonts w:ascii="Times New Roman" w:eastAsia="Times New Roman" w:hAnsi="Times New Roman" w:cs="Times New Roman"/>
          <w:b/>
          <w:i/>
          <w:color w:val="000000" w:themeColor="text1"/>
          <w:sz w:val="24"/>
          <w:szCs w:val="24"/>
        </w:rPr>
        <w:t> ОЗ підлягають </w:t>
      </w:r>
      <w:r w:rsidRPr="00310F7E">
        <w:rPr>
          <w:rFonts w:ascii="Times New Roman" w:eastAsia="Times New Roman" w:hAnsi="Times New Roman" w:cs="Times New Roman"/>
          <w:b/>
          <w:bCs/>
          <w:i/>
          <w:color w:val="000000" w:themeColor="text1"/>
          <w:sz w:val="24"/>
          <w:szCs w:val="24"/>
        </w:rPr>
        <w:t>амортизації</w:t>
      </w:r>
      <w:r w:rsidRPr="00310F7E">
        <w:rPr>
          <w:rFonts w:ascii="Times New Roman" w:eastAsia="Times New Roman" w:hAnsi="Times New Roman" w:cs="Times New Roman"/>
          <w:b/>
          <w:i/>
          <w:color w:val="000000" w:themeColor="text1"/>
          <w:sz w:val="24"/>
          <w:szCs w:val="24"/>
        </w:rPr>
        <w:t>. Тому після переоцінки потрібно </w:t>
      </w:r>
      <w:r w:rsidRPr="00310F7E">
        <w:rPr>
          <w:rFonts w:ascii="Times New Roman" w:eastAsia="Times New Roman" w:hAnsi="Times New Roman" w:cs="Times New Roman"/>
          <w:b/>
          <w:bCs/>
          <w:i/>
          <w:color w:val="000000" w:themeColor="text1"/>
          <w:sz w:val="24"/>
          <w:szCs w:val="24"/>
        </w:rPr>
        <w:t>встановити новий строк експлуатації</w:t>
      </w:r>
      <w:r w:rsidRPr="00310F7E">
        <w:rPr>
          <w:rFonts w:ascii="Times New Roman" w:eastAsia="Times New Roman" w:hAnsi="Times New Roman" w:cs="Times New Roman"/>
          <w:b/>
          <w:i/>
          <w:color w:val="000000" w:themeColor="text1"/>
          <w:sz w:val="24"/>
          <w:szCs w:val="24"/>
        </w:rPr>
        <w:t> для кожного об'єкта з урахуванням їх технічного стану та ступеня зношеності</w:t>
      </w:r>
      <w:r w:rsidRPr="00310F7E">
        <w:rPr>
          <w:rFonts w:ascii="Times New Roman" w:eastAsia="Times New Roman" w:hAnsi="Times New Roman" w:cs="Times New Roman"/>
          <w:color w:val="000000" w:themeColor="text1"/>
          <w:sz w:val="24"/>
          <w:szCs w:val="24"/>
        </w:rPr>
        <w:t xml:space="preserve">. Такий </w:t>
      </w:r>
      <w:r w:rsidRPr="00310F7E">
        <w:rPr>
          <w:rFonts w:ascii="Times New Roman" w:eastAsia="Times New Roman" w:hAnsi="Times New Roman" w:cs="Times New Roman"/>
          <w:b/>
          <w:i/>
          <w:color w:val="000000" w:themeColor="text1"/>
          <w:sz w:val="24"/>
          <w:szCs w:val="24"/>
        </w:rPr>
        <w:t>строк може встановити відповідна комісія установи.</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xml:space="preserve">Надалі нараховувати амортизацію на переоцінений об'єкт ОЗ потрібно виходячи з </w:t>
      </w:r>
      <w:r w:rsidRPr="00310F7E">
        <w:rPr>
          <w:rFonts w:ascii="Times New Roman" w:eastAsia="Times New Roman" w:hAnsi="Times New Roman" w:cs="Times New Roman"/>
          <w:b/>
          <w:i/>
          <w:color w:val="000000" w:themeColor="text1"/>
          <w:sz w:val="24"/>
          <w:szCs w:val="24"/>
        </w:rPr>
        <w:t>нового строку</w:t>
      </w:r>
      <w:r w:rsidRPr="00310F7E">
        <w:rPr>
          <w:rFonts w:ascii="Times New Roman" w:eastAsia="Times New Roman" w:hAnsi="Times New Roman" w:cs="Times New Roman"/>
          <w:color w:val="000000" w:themeColor="text1"/>
          <w:sz w:val="24"/>
          <w:szCs w:val="24"/>
        </w:rPr>
        <w:t xml:space="preserve"> експлуатації.</w:t>
      </w:r>
    </w:p>
    <w:p w:rsidR="0019200A" w:rsidRPr="00310F7E" w:rsidRDefault="0019200A" w:rsidP="0019200A">
      <w:pPr>
        <w:spacing w:after="0" w:line="240" w:lineRule="auto"/>
        <w:ind w:firstLine="567"/>
        <w:jc w:val="right"/>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Таблиця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3"/>
        <w:gridCol w:w="7028"/>
      </w:tblGrid>
      <w:tr w:rsidR="0019200A" w:rsidRPr="00310F7E" w:rsidTr="000C1ED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Результат переоцінки</w:t>
            </w:r>
          </w:p>
        </w:tc>
        <w:tc>
          <w:tcPr>
            <w:tcW w:w="3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Наслідки в бухгалтерському обліку</w:t>
            </w:r>
          </w:p>
        </w:tc>
      </w:tr>
      <w:tr w:rsidR="0019200A" w:rsidRPr="00310F7E" w:rsidTr="000C1ED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Дооцінка</w:t>
            </w:r>
          </w:p>
        </w:tc>
        <w:tc>
          <w:tcPr>
            <w:tcW w:w="3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Збільшуємо капітал у дооцінках.</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Бухгалтерські проведення (п. 1.20 Типової кореспонденції):</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5311</w:t>
            </w:r>
            <w:r w:rsidRPr="00310F7E">
              <w:rPr>
                <w:rFonts w:ascii="Times New Roman" w:eastAsia="Times New Roman" w:hAnsi="Times New Roman" w:cs="Times New Roman"/>
                <w:color w:val="000000" w:themeColor="text1"/>
                <w:sz w:val="24"/>
                <w:szCs w:val="24"/>
              </w:rPr>
              <w:t> (на суму дооцінки первісної вартості об'єкта);</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5311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1411</w:t>
            </w:r>
            <w:r w:rsidRPr="00310F7E">
              <w:rPr>
                <w:rFonts w:ascii="Times New Roman" w:eastAsia="Times New Roman" w:hAnsi="Times New Roman" w:cs="Times New Roman"/>
                <w:color w:val="000000" w:themeColor="text1"/>
                <w:sz w:val="24"/>
                <w:szCs w:val="24"/>
              </w:rPr>
              <w:t> (на суму відкоригованого зносу об'єкта)</w:t>
            </w:r>
          </w:p>
        </w:tc>
      </w:tr>
      <w:tr w:rsidR="0019200A" w:rsidRPr="00310F7E" w:rsidTr="000C1ED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Уцінка</w:t>
            </w:r>
          </w:p>
        </w:tc>
        <w:tc>
          <w:tcPr>
            <w:tcW w:w="3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Відображаємо в складі витрат періоду.</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Бухгалтерські проведення (п. 1.21 Типової кореспонденції):</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8411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(на суму уцінки залишкової вартості об'єкта);</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1411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10, 11</w:t>
            </w:r>
            <w:r w:rsidRPr="00310F7E">
              <w:rPr>
                <w:rFonts w:ascii="Times New Roman" w:eastAsia="Times New Roman" w:hAnsi="Times New Roman" w:cs="Times New Roman"/>
                <w:color w:val="000000" w:themeColor="text1"/>
                <w:sz w:val="24"/>
                <w:szCs w:val="24"/>
              </w:rPr>
              <w:t>* (на суму відкоригованого зносу об'єкта)</w:t>
            </w:r>
          </w:p>
        </w:tc>
      </w:tr>
      <w:tr w:rsidR="0019200A" w:rsidRPr="00310F7E" w:rsidTr="000C1EDC">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У такому самому порядку відображаємо результати всіх переоцінок, проведених в одному напрямку, тобто в разі дооцінки раніше дооцінених об'єктів або в разі уцінки раніше уцінених об'єктів.</w:t>
            </w:r>
          </w:p>
        </w:tc>
      </w:tr>
      <w:tr w:rsidR="0019200A" w:rsidRPr="00310F7E" w:rsidTr="000C1ED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Дооцінка раніше уцінених об'єктів</w:t>
            </w:r>
          </w:p>
        </w:tc>
        <w:tc>
          <w:tcPr>
            <w:tcW w:w="3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Суму чергової (останньої) дооцінки в межах перевищення зараховуємо до складу доходів звітного періоду. При цьому різницю спрямовуємо на збільшення капіталу в дооцінках.</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Бухгалтерські проведення (п. 1.23 Типової кореспонденції):</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7411</w:t>
            </w:r>
            <w:r w:rsidRPr="00310F7E">
              <w:rPr>
                <w:rFonts w:ascii="Times New Roman" w:eastAsia="Times New Roman" w:hAnsi="Times New Roman" w:cs="Times New Roman"/>
                <w:color w:val="000000" w:themeColor="text1"/>
                <w:sz w:val="24"/>
                <w:szCs w:val="24"/>
              </w:rPr>
              <w:t> (на суму дооцінки залишкової вартості в межах попередніх уцінок, які було зараховано до складу витрат);</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5311</w:t>
            </w:r>
            <w:r w:rsidRPr="00310F7E">
              <w:rPr>
                <w:rFonts w:ascii="Times New Roman" w:eastAsia="Times New Roman" w:hAnsi="Times New Roman" w:cs="Times New Roman"/>
                <w:color w:val="000000" w:themeColor="text1"/>
                <w:sz w:val="24"/>
                <w:szCs w:val="24"/>
              </w:rPr>
              <w:t> (на суму перевищення дооцінки залишкової вартості над сумою попередніх уцінок, які було зараховано до складу витрат);</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1411</w:t>
            </w:r>
            <w:r w:rsidRPr="00310F7E">
              <w:rPr>
                <w:rFonts w:ascii="Times New Roman" w:eastAsia="Times New Roman" w:hAnsi="Times New Roman" w:cs="Times New Roman"/>
                <w:color w:val="000000" w:themeColor="text1"/>
                <w:sz w:val="24"/>
                <w:szCs w:val="24"/>
              </w:rPr>
              <w:t> (на суму відкоригованого зносу об'єкта)</w:t>
            </w:r>
          </w:p>
        </w:tc>
      </w:tr>
      <w:tr w:rsidR="0019200A" w:rsidRPr="00310F7E" w:rsidTr="000C1ED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jc w:val="center"/>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b/>
                <w:bCs/>
                <w:color w:val="000000" w:themeColor="text1"/>
                <w:sz w:val="24"/>
                <w:szCs w:val="24"/>
              </w:rPr>
              <w:t>Уцінка раніше дооцінених об'єктів</w:t>
            </w:r>
          </w:p>
        </w:tc>
        <w:tc>
          <w:tcPr>
            <w:tcW w:w="3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Суму чергової (останньої) уцінки в межах перевищення спрямовуємо на зменшення капіталу в дооцінках.</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При цьому різницю зараховуємо до витрат звітного періоду.</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Бухгалтерські проведення (п. 1.22 Типової кореспонденції):</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5311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(на суму уцінки залишкової вартості у межах суми попередніх дооцінок);</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8411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(на суму перевищення уцінки залишкової вартості об'єкта над попередніми дооцінками цього об'єкта);</w:t>
            </w:r>
          </w:p>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Дт </w:t>
            </w:r>
            <w:r w:rsidRPr="00310F7E">
              <w:rPr>
                <w:rFonts w:ascii="Times New Roman" w:eastAsia="Times New Roman" w:hAnsi="Times New Roman" w:cs="Times New Roman"/>
                <w:b/>
                <w:bCs/>
                <w:color w:val="000000" w:themeColor="text1"/>
                <w:sz w:val="24"/>
                <w:szCs w:val="24"/>
              </w:rPr>
              <w:t>1411</w:t>
            </w:r>
            <w:r w:rsidRPr="00310F7E">
              <w:rPr>
                <w:rFonts w:ascii="Times New Roman" w:eastAsia="Times New Roman" w:hAnsi="Times New Roman" w:cs="Times New Roman"/>
                <w:color w:val="000000" w:themeColor="text1"/>
                <w:sz w:val="24"/>
                <w:szCs w:val="24"/>
              </w:rPr>
              <w:t> – Кт </w:t>
            </w:r>
            <w:r w:rsidRPr="00310F7E">
              <w:rPr>
                <w:rFonts w:ascii="Times New Roman" w:eastAsia="Times New Roman" w:hAnsi="Times New Roman" w:cs="Times New Roman"/>
                <w:b/>
                <w:bCs/>
                <w:color w:val="000000" w:themeColor="text1"/>
                <w:sz w:val="24"/>
                <w:szCs w:val="24"/>
              </w:rPr>
              <w:t>10</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rPr>
              <w:t>11</w:t>
            </w:r>
            <w:r w:rsidRPr="00310F7E">
              <w:rPr>
                <w:rFonts w:ascii="Times New Roman" w:eastAsia="Times New Roman" w:hAnsi="Times New Roman" w:cs="Times New Roman"/>
                <w:color w:val="000000" w:themeColor="text1"/>
                <w:sz w:val="24"/>
                <w:szCs w:val="24"/>
              </w:rPr>
              <w:t>* (на суму відкоригованого зносу об'єкта)</w:t>
            </w:r>
          </w:p>
        </w:tc>
      </w:tr>
    </w:tbl>
    <w:p w:rsidR="0019200A" w:rsidRPr="00310F7E" w:rsidRDefault="0019200A" w:rsidP="0019200A">
      <w:pPr>
        <w:spacing w:after="0" w:line="240" w:lineRule="auto"/>
        <w:rPr>
          <w:rFonts w:ascii="Times New Roman" w:eastAsia="Times New Roman" w:hAnsi="Times New Roman" w:cs="Times New Roman"/>
          <w:color w:val="000000" w:themeColor="text1"/>
          <w:sz w:val="24"/>
          <w:szCs w:val="24"/>
        </w:rPr>
      </w:pPr>
      <w:r w:rsidRPr="00310F7E">
        <w:rPr>
          <w:rFonts w:ascii="Times New Roman" w:eastAsia="Times New Roman" w:hAnsi="Times New Roman" w:cs="Times New Roman"/>
          <w:color w:val="000000" w:themeColor="text1"/>
          <w:sz w:val="24"/>
          <w:szCs w:val="24"/>
        </w:rPr>
        <w:t>* Конкретний субрахунок бюджетна установа обирає залежно від групи ОЗ, яку було переоцінено.</w:t>
      </w:r>
    </w:p>
    <w:p w:rsidR="0019200A" w:rsidRPr="00310F7E" w:rsidRDefault="0019200A" w:rsidP="0019200A">
      <w:pPr>
        <w:spacing w:after="0" w:line="240" w:lineRule="auto"/>
        <w:ind w:firstLine="567"/>
        <w:jc w:val="both"/>
        <w:rPr>
          <w:rFonts w:ascii="Times New Roman" w:eastAsia="Times New Roman" w:hAnsi="Times New Roman" w:cs="Times New Roman"/>
          <w:color w:val="000000" w:themeColor="text1"/>
          <w:sz w:val="24"/>
          <w:szCs w:val="24"/>
          <w:lang w:val="uk-UA"/>
        </w:rPr>
      </w:pPr>
    </w:p>
    <w:p w:rsidR="0019200A" w:rsidRPr="00310F7E" w:rsidRDefault="0019200A" w:rsidP="0019200A">
      <w:pPr>
        <w:spacing w:after="0" w:line="240" w:lineRule="auto"/>
        <w:ind w:firstLine="567"/>
        <w:jc w:val="both"/>
        <w:rPr>
          <w:rFonts w:ascii="Times New Roman" w:eastAsia="Times New Roman" w:hAnsi="Times New Roman" w:cs="Times New Roman"/>
          <w:b/>
          <w:i/>
          <w:color w:val="000000" w:themeColor="text1"/>
          <w:sz w:val="24"/>
          <w:szCs w:val="24"/>
          <w:lang w:val="uk-UA"/>
        </w:rPr>
      </w:pPr>
      <w:r w:rsidRPr="00310F7E">
        <w:rPr>
          <w:rFonts w:ascii="Times New Roman" w:eastAsia="Times New Roman" w:hAnsi="Times New Roman" w:cs="Times New Roman"/>
          <w:color w:val="000000" w:themeColor="text1"/>
          <w:sz w:val="24"/>
          <w:szCs w:val="24"/>
          <w:lang w:val="uk-UA"/>
        </w:rPr>
        <w:t>Інформацію про переоцінку основних засобів уносить до</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lang w:val="uk-UA"/>
        </w:rPr>
        <w:t>акта</w:t>
      </w:r>
      <w:r w:rsidRPr="00310F7E">
        <w:rPr>
          <w:rFonts w:ascii="Times New Roman" w:eastAsia="Times New Roman" w:hAnsi="Times New Roman" w:cs="Times New Roman"/>
          <w:color w:val="000000" w:themeColor="text1"/>
          <w:sz w:val="24"/>
          <w:szCs w:val="24"/>
          <w:lang w:val="uk-UA"/>
        </w:rPr>
        <w:t xml:space="preserve"> із зазначенням, зокрема,</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lang w:val="uk-UA"/>
        </w:rPr>
        <w:t>назви об'єкта</w:t>
      </w:r>
      <w:r w:rsidRPr="00310F7E">
        <w:rPr>
          <w:rFonts w:ascii="Times New Roman" w:eastAsia="Times New Roman" w:hAnsi="Times New Roman" w:cs="Times New Roman"/>
          <w:color w:val="000000" w:themeColor="text1"/>
          <w:sz w:val="24"/>
          <w:szCs w:val="24"/>
          <w:lang w:val="uk-UA"/>
        </w:rPr>
        <w:t>, інвентарного (номенклатурного) номера,</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b/>
          <w:bCs/>
          <w:color w:val="000000" w:themeColor="text1"/>
          <w:sz w:val="24"/>
          <w:szCs w:val="24"/>
          <w:lang w:val="uk-UA"/>
        </w:rPr>
        <w:t xml:space="preserve">первісної (переоціненої) та справедливої вартості, суми зносу, індексу переоцінки, суми переоціненої вартості та зносу після проведення переоцінки, суми зміни у вартості </w:t>
      </w:r>
      <w:r w:rsidRPr="00310F7E">
        <w:rPr>
          <w:rFonts w:ascii="Times New Roman" w:eastAsia="Times New Roman" w:hAnsi="Times New Roman" w:cs="Times New Roman"/>
          <w:b/>
          <w:bCs/>
          <w:color w:val="000000" w:themeColor="text1"/>
          <w:sz w:val="24"/>
          <w:szCs w:val="24"/>
          <w:lang w:val="uk-UA"/>
        </w:rPr>
        <w:lastRenderedPageBreak/>
        <w:t>об'єкта</w:t>
      </w:r>
      <w:r w:rsidRPr="00310F7E">
        <w:rPr>
          <w:rFonts w:ascii="Times New Roman" w:eastAsia="Times New Roman" w:hAnsi="Times New Roman" w:cs="Times New Roman"/>
          <w:color w:val="000000" w:themeColor="text1"/>
          <w:sz w:val="24"/>
          <w:szCs w:val="24"/>
        </w:rPr>
        <w:t> </w:t>
      </w:r>
      <w:r w:rsidRPr="00310F7E">
        <w:rPr>
          <w:rFonts w:ascii="Times New Roman" w:eastAsia="Times New Roman" w:hAnsi="Times New Roman" w:cs="Times New Roman"/>
          <w:color w:val="000000" w:themeColor="text1"/>
          <w:sz w:val="24"/>
          <w:szCs w:val="24"/>
          <w:lang w:val="uk-UA"/>
        </w:rPr>
        <w:t xml:space="preserve">та його зносу, ліквідаційної вартості. </w:t>
      </w:r>
      <w:r w:rsidRPr="00310F7E">
        <w:rPr>
          <w:rFonts w:ascii="Times New Roman" w:eastAsia="Times New Roman" w:hAnsi="Times New Roman" w:cs="Times New Roman"/>
          <w:color w:val="000000" w:themeColor="text1"/>
          <w:sz w:val="24"/>
          <w:szCs w:val="24"/>
        </w:rPr>
        <w:t xml:space="preserve">Форму </w:t>
      </w:r>
      <w:r w:rsidRPr="00310F7E">
        <w:rPr>
          <w:rFonts w:ascii="Times New Roman" w:eastAsia="Times New Roman" w:hAnsi="Times New Roman" w:cs="Times New Roman"/>
          <w:b/>
          <w:i/>
          <w:color w:val="000000" w:themeColor="text1"/>
          <w:sz w:val="24"/>
          <w:szCs w:val="24"/>
        </w:rPr>
        <w:t>акта переоцінки основних засобів затверджено Наказом № 818.</w:t>
      </w:r>
    </w:p>
    <w:p w:rsidR="005C07AE" w:rsidRPr="00310F7E" w:rsidRDefault="005C07AE" w:rsidP="0019200A">
      <w:pPr>
        <w:spacing w:after="0" w:line="240" w:lineRule="auto"/>
        <w:ind w:firstLine="567"/>
        <w:jc w:val="both"/>
        <w:rPr>
          <w:rFonts w:ascii="Times New Roman" w:eastAsia="Times New Roman" w:hAnsi="Times New Roman" w:cs="Times New Roman"/>
          <w:b/>
          <w:i/>
          <w:color w:val="000000" w:themeColor="text1"/>
          <w:sz w:val="24"/>
          <w:szCs w:val="24"/>
          <w:lang w:val="uk-UA"/>
        </w:rPr>
      </w:pPr>
    </w:p>
    <w:p w:rsidR="005C07AE" w:rsidRPr="00310F7E" w:rsidRDefault="005C07AE" w:rsidP="0019200A">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10F7E">
        <w:rPr>
          <w:rFonts w:ascii="Times New Roman" w:eastAsia="Times New Roman" w:hAnsi="Times New Roman" w:cs="Times New Roman"/>
          <w:b/>
          <w:color w:val="000000" w:themeColor="text1"/>
          <w:sz w:val="24"/>
          <w:szCs w:val="24"/>
          <w:lang w:val="uk-UA"/>
        </w:rPr>
        <w:t xml:space="preserve">3.Окремі питання, пов’язані з документуванням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b/>
          <w:color w:val="000000" w:themeColor="text1"/>
          <w:sz w:val="28"/>
          <w:szCs w:val="28"/>
          <w:lang w:val="uk-UA"/>
        </w:rPr>
      </w:pP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i/>
          <w:color w:val="000000" w:themeColor="text1"/>
          <w:sz w:val="24"/>
          <w:szCs w:val="24"/>
          <w:lang w:val="uk-UA"/>
        </w:rPr>
      </w:pPr>
      <w:r w:rsidRPr="00310F7E">
        <w:rPr>
          <w:rFonts w:ascii="Times New Roman" w:hAnsi="Times New Roman" w:cs="Times New Roman"/>
          <w:b/>
          <w:color w:val="000000" w:themeColor="text1"/>
          <w:sz w:val="24"/>
          <w:szCs w:val="24"/>
          <w:lang w:val="uk-UA"/>
        </w:rPr>
        <w:t>У разі втрати, пошкодження або дострокового знищення первинних документів платник податків зобов’язаний у п’ятиденний строк</w:t>
      </w:r>
      <w:r w:rsidRPr="00310F7E">
        <w:rPr>
          <w:rFonts w:ascii="Times New Roman" w:hAnsi="Times New Roman" w:cs="Times New Roman"/>
          <w:color w:val="000000" w:themeColor="text1"/>
          <w:sz w:val="24"/>
          <w:szCs w:val="24"/>
          <w:lang w:val="uk-UA"/>
        </w:rPr>
        <w:t xml:space="preserve"> з дня такої події письмово повідомити (із наданням оформлених відповідно до законодавства документів, підтверджуючих настання події, що призвела до такої втрати, пошкодження або дострокового знищення документів) контролюючий орган за місцем обліку в порядку, встановленому Податковим кодексом України від 02 грудня 2010 року № 2755-VІ зі змінами та доповненнями (далі – ПКУ) для подання податкової звітності. </w:t>
      </w:r>
      <w:r w:rsidRPr="00310F7E">
        <w:rPr>
          <w:rFonts w:ascii="Times New Roman" w:hAnsi="Times New Roman" w:cs="Times New Roman"/>
          <w:i/>
          <w:color w:val="000000" w:themeColor="text1"/>
          <w:sz w:val="24"/>
          <w:szCs w:val="24"/>
          <w:lang w:val="uk-UA"/>
        </w:rPr>
        <w:t xml:space="preserve">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 </w:t>
      </w:r>
      <w:r w:rsidRPr="00310F7E">
        <w:rPr>
          <w:rFonts w:ascii="Times New Roman" w:hAnsi="Times New Roman" w:cs="Times New Roman"/>
          <w:color w:val="000000" w:themeColor="text1"/>
          <w:sz w:val="24"/>
          <w:szCs w:val="24"/>
          <w:lang w:val="uk-UA"/>
        </w:rPr>
        <w:t xml:space="preserve">У разі надання платником податків у порядку та строки, визначені абзацом першим цього підпункту, повідомлення та неможливості проведення перевірки платника податків у зв’язку з втратою, пошкодженням або достроковим знищенням платником податків документів строки проведення таких перевірок (крім перевірок, визначених ст. 200 ПКУ) </w:t>
      </w:r>
      <w:r w:rsidRPr="00310F7E">
        <w:rPr>
          <w:rFonts w:ascii="Times New Roman" w:hAnsi="Times New Roman" w:cs="Times New Roman"/>
          <w:i/>
          <w:color w:val="000000" w:themeColor="text1"/>
          <w:sz w:val="24"/>
          <w:szCs w:val="24"/>
          <w:lang w:val="uk-UA"/>
        </w:rPr>
        <w:t xml:space="preserve">переносяться до дати відновлення та надання документів до перевірки у межах визначених цим підпунктом строків, але на строк не більше ніж 120 днів.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4"/>
          <w:szCs w:val="24"/>
          <w:lang w:val="uk-UA"/>
        </w:rPr>
      </w:pPr>
      <w:r w:rsidRPr="00310F7E">
        <w:rPr>
          <w:rFonts w:ascii="Times New Roman" w:hAnsi="Times New Roman" w:cs="Times New Roman"/>
          <w:i/>
          <w:color w:val="000000" w:themeColor="text1"/>
          <w:sz w:val="24"/>
          <w:szCs w:val="24"/>
          <w:lang w:val="uk-UA"/>
        </w:rPr>
        <w:t>У разі не відновлення документів</w:t>
      </w:r>
      <w:r w:rsidRPr="00310F7E">
        <w:rPr>
          <w:rFonts w:ascii="Times New Roman" w:hAnsi="Times New Roman" w:cs="Times New Roman"/>
          <w:color w:val="000000" w:themeColor="text1"/>
          <w:sz w:val="24"/>
          <w:szCs w:val="24"/>
          <w:lang w:val="uk-UA"/>
        </w:rPr>
        <w:t>, зазначених у пп. 44.1 і 44.3 ст. 44 ПКУ, або їх повторної втрати, пошкодження чи дострокового знищення, що відбулися після використання платником податків права на їх відновлення у порядку, передбаченому п. 44.5 ПКУ, вважається, що такі документи були відсутні у такого платника податків на час складення такої звітності або на час виконання ним вимог митного, валютного та іншого законодавства, контроль за дотриманням якого покладено на контролюючі органи.</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4"/>
          <w:szCs w:val="24"/>
          <w:lang w:val="uk-UA"/>
        </w:rPr>
      </w:pPr>
      <w:r w:rsidRPr="00310F7E">
        <w:rPr>
          <w:rFonts w:ascii="Times New Roman" w:hAnsi="Times New Roman" w:cs="Times New Roman"/>
          <w:color w:val="000000" w:themeColor="text1"/>
          <w:sz w:val="24"/>
          <w:szCs w:val="24"/>
          <w:lang w:val="uk-UA"/>
        </w:rPr>
        <w:t xml:space="preserve"> Одночасно повідомляємо, що відповідно до п.п. 69.9 п. 69 підрозд. 10 розд. ХХ «Перехідні положення» ПКУ тимчасово, на період до припинення або скасування воєнного стану на території України, для платників податків та </w:t>
      </w:r>
      <w:r w:rsidRPr="00310F7E">
        <w:rPr>
          <w:rFonts w:ascii="Times New Roman" w:hAnsi="Times New Roman" w:cs="Times New Roman"/>
          <w:b/>
          <w:color w:val="000000" w:themeColor="text1"/>
          <w:sz w:val="24"/>
          <w:szCs w:val="24"/>
          <w:lang w:val="uk-UA"/>
        </w:rPr>
        <w:t>контролюючих органів зупиняється перебіг строків, визначених податковим законодавством та іншим законодавством</w:t>
      </w:r>
      <w:r w:rsidRPr="00310F7E">
        <w:rPr>
          <w:rFonts w:ascii="Times New Roman" w:hAnsi="Times New Roman" w:cs="Times New Roman"/>
          <w:color w:val="000000" w:themeColor="text1"/>
          <w:sz w:val="24"/>
          <w:szCs w:val="24"/>
          <w:lang w:val="uk-UA"/>
        </w:rPr>
        <w:t xml:space="preserve">, контроль за дотриманням якого покладено на контролюючі органи. Разом з тим, відповідно до п. 7 розд. I Положення про інвентаризацію активів та зобов’язань, затвердженого наказом Міністерства фінансів України від 02.09.2014 № 879, зареєстрованого у Міністерстві юстиції України 30.10.2014 за № 1365/26142 (далі – Положення № 879), у разі встановлення фактів крадіжок або зловживань, псування цінностей (на день встановлення таких фактів) в обсязі, визначеному керівником підприємства, обов’язково проводиться інвентаризація активів та зобов’язань, що перебувають на балансі суб’єкта господарювання.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b/>
          <w:color w:val="000000" w:themeColor="text1"/>
          <w:sz w:val="28"/>
          <w:szCs w:val="28"/>
          <w:lang w:val="uk-UA"/>
        </w:rPr>
      </w:pPr>
      <w:r w:rsidRPr="00310F7E">
        <w:rPr>
          <w:rFonts w:ascii="Times New Roman" w:hAnsi="Times New Roman" w:cs="Times New Roman"/>
          <w:color w:val="000000" w:themeColor="text1"/>
          <w:sz w:val="24"/>
          <w:szCs w:val="24"/>
          <w:lang w:val="uk-UA"/>
        </w:rPr>
        <w:t xml:space="preserve">При цьому згідно з п. 8 Положення № 879 підприємства, що знаходяться на тимчасово окупованій території та/або на території проведення антитерористичної операції (або їх структурні підрозділи (відокремлене майно) перебувають на зазначених територіях), </w:t>
      </w:r>
      <w:r w:rsidRPr="00310F7E">
        <w:rPr>
          <w:rFonts w:ascii="Times New Roman" w:hAnsi="Times New Roman" w:cs="Times New Roman"/>
          <w:b/>
          <w:i/>
          <w:color w:val="000000" w:themeColor="text1"/>
          <w:sz w:val="24"/>
          <w:szCs w:val="24"/>
          <w:lang w:val="uk-UA"/>
        </w:rPr>
        <w:t>проводять інвентаризацію у випадках, обов’язкових для її проведення, тоді, коли стане можливим забезпечити безпечний та безперешкодний доступ уповноважених осіб до активів, первинних документів і регістрів бухгалтерського обліку, в яких відображені зобов’язання та власний капітал цих підприємств. Зазначені підприємства зобов’язані провести інвентаризацію станом на 01 число місяця, що настає за місяцем, у якому зникли перешкоди доступу до активів, первинних документів і регістрів бухгалтерського обліку,</w:t>
      </w:r>
      <w:r w:rsidRPr="00310F7E">
        <w:rPr>
          <w:rFonts w:ascii="Times New Roman" w:hAnsi="Times New Roman" w:cs="Times New Roman"/>
          <w:i/>
          <w:color w:val="000000" w:themeColor="text1"/>
          <w:sz w:val="24"/>
          <w:szCs w:val="24"/>
          <w:lang w:val="uk-UA"/>
        </w:rPr>
        <w:t xml:space="preserve"> </w:t>
      </w:r>
      <w:r w:rsidRPr="00310F7E">
        <w:rPr>
          <w:rFonts w:ascii="Times New Roman" w:hAnsi="Times New Roman" w:cs="Times New Roman"/>
          <w:color w:val="000000" w:themeColor="text1"/>
          <w:sz w:val="24"/>
          <w:szCs w:val="24"/>
          <w:lang w:val="uk-UA"/>
        </w:rPr>
        <w:t xml:space="preserve">та відобразити результати інвентаризації в бухгалтерському обліку відповідного звітного періоду. Порядок документального оформлення інвентаризації активів та зобов’язань, що перебувають на балансі суб’єкта господарювання, визначено у Положенні № 879. </w:t>
      </w:r>
      <w:r w:rsidRPr="00310F7E">
        <w:rPr>
          <w:rFonts w:ascii="Times New Roman" w:hAnsi="Times New Roman" w:cs="Times New Roman"/>
          <w:color w:val="000000" w:themeColor="text1"/>
          <w:sz w:val="28"/>
          <w:szCs w:val="28"/>
          <w:lang w:val="uk-UA"/>
        </w:rPr>
        <w:br/>
      </w:r>
      <w:r w:rsidRPr="00310F7E">
        <w:rPr>
          <w:rFonts w:ascii="Times New Roman" w:hAnsi="Times New Roman" w:cs="Times New Roman"/>
          <w:b/>
          <w:color w:val="000000" w:themeColor="text1"/>
          <w:sz w:val="28"/>
          <w:szCs w:val="28"/>
          <w:lang w:val="uk-UA"/>
        </w:rPr>
        <w:lastRenderedPageBreak/>
        <w:t>4. Трудові відносини: особливості регламентування в умовах військового стану</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Якщо працівника звільнено з роботи під час військової служби, яку відповідальність несе роботодавець?</w:t>
      </w:r>
      <w:r w:rsidRPr="00310F7E">
        <w:rPr>
          <w:rFonts w:ascii="Times New Roman" w:hAnsi="Times New Roman" w:cs="Times New Roman"/>
          <w:color w:val="000000" w:themeColor="text1"/>
          <w:sz w:val="28"/>
          <w:szCs w:val="28"/>
          <w:lang w:val="uk-UA"/>
        </w:rPr>
        <w:t xml:space="preserve"> Законодавством </w:t>
      </w:r>
      <w:r w:rsidRPr="00310F7E">
        <w:rPr>
          <w:rFonts w:ascii="Times New Roman" w:hAnsi="Times New Roman" w:cs="Times New Roman"/>
          <w:i/>
          <w:color w:val="000000" w:themeColor="text1"/>
          <w:sz w:val="28"/>
          <w:szCs w:val="28"/>
          <w:lang w:val="uk-UA"/>
        </w:rPr>
        <w:t>заборонено звільняти працівника, якого призвано на військову службу або мобілізовано</w:t>
      </w:r>
      <w:r w:rsidRPr="00310F7E">
        <w:rPr>
          <w:rFonts w:ascii="Times New Roman" w:hAnsi="Times New Roman" w:cs="Times New Roman"/>
          <w:color w:val="000000" w:themeColor="text1"/>
          <w:sz w:val="28"/>
          <w:szCs w:val="28"/>
          <w:lang w:val="uk-UA"/>
        </w:rPr>
        <w:t xml:space="preserve">. Порушення цього положення може бути підставою для притягнення керівника підприємства до відповідальності за ст. 172 КК України «Грубе порушення законодавства про працю».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Біженці – це громадяни України, які не просто покинули свої домівки, а перетнули кордон та перебувають за межами своєї держави</w:t>
      </w:r>
      <w:r w:rsidRPr="00310F7E">
        <w:rPr>
          <w:rFonts w:ascii="Times New Roman" w:hAnsi="Times New Roman" w:cs="Times New Roman"/>
          <w:color w:val="000000" w:themeColor="text1"/>
          <w:sz w:val="28"/>
          <w:szCs w:val="28"/>
          <w:lang w:val="uk-UA"/>
        </w:rPr>
        <w:t xml:space="preserve">. Також жителі України, які рятуються від російської агресії, можуть отримати тимчасовий захист, який надає, зокрема, право на проживання, доступ до ринку праці, медичних послуг і соціальної допомоги у країнах ЄС. Особи, які покинули свої домівки, але перебувають у межах своєї держави, вважаються внутрішньо переміщеними особами.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Відповідно до ст. 1 Закону від 20.10.2014 № 1706-VII «Про забезпечення прав і свобод внутрішньо переміщених осіб» (далі – Закон № 1706) </w:t>
      </w:r>
      <w:r w:rsidRPr="00310F7E">
        <w:rPr>
          <w:rFonts w:ascii="Times New Roman" w:hAnsi="Times New Roman" w:cs="Times New Roman"/>
          <w:b/>
          <w:i/>
          <w:color w:val="000000" w:themeColor="text1"/>
          <w:sz w:val="28"/>
          <w:szCs w:val="28"/>
          <w:lang w:val="uk-UA"/>
        </w:rPr>
        <w:t>внутрішньо переміщені особи – це особи, які є громадянами України, іноземцями або особами без громадянства, які перебувають на території</w:t>
      </w:r>
      <w:r w:rsidRPr="00310F7E">
        <w:rPr>
          <w:rFonts w:ascii="Times New Roman" w:hAnsi="Times New Roman" w:cs="Times New Roman"/>
          <w:color w:val="000000" w:themeColor="text1"/>
          <w:sz w:val="28"/>
          <w:szCs w:val="28"/>
          <w:lang w:val="uk-UA"/>
        </w:rPr>
        <w:t xml:space="preserve"> України на законних підставах та мають право на постійне проживання в Україні, яких змусили залишити або покинути своє місце проживання в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b/>
          <w:i/>
          <w:color w:val="000000" w:themeColor="text1"/>
          <w:sz w:val="28"/>
          <w:szCs w:val="28"/>
          <w:lang w:val="uk-UA"/>
        </w:rPr>
      </w:pPr>
      <w:r w:rsidRPr="00310F7E">
        <w:rPr>
          <w:rFonts w:ascii="Times New Roman" w:hAnsi="Times New Roman" w:cs="Times New Roman"/>
          <w:i/>
          <w:color w:val="000000" w:themeColor="text1"/>
          <w:sz w:val="28"/>
          <w:szCs w:val="28"/>
          <w:lang w:val="uk-UA"/>
        </w:rPr>
        <w:t xml:space="preserve">І внутрішньо переміщені особи, і біженці, і особи, які отримали тимчасовий захист, які на момент виїзду з міста, де жили та/або працювали, залишають за собою право на використання відпусток, зміну режиму роботи та звільнення. </w:t>
      </w:r>
      <w:r w:rsidRPr="00310F7E">
        <w:rPr>
          <w:rFonts w:ascii="Times New Roman" w:hAnsi="Times New Roman" w:cs="Times New Roman"/>
          <w:color w:val="000000" w:themeColor="text1"/>
          <w:sz w:val="28"/>
          <w:szCs w:val="28"/>
          <w:lang w:val="uk-UA"/>
        </w:rPr>
        <w:t xml:space="preserve">Проте зауважимо, що </w:t>
      </w:r>
      <w:r w:rsidRPr="00310F7E">
        <w:rPr>
          <w:rFonts w:ascii="Times New Roman" w:hAnsi="Times New Roman" w:cs="Times New Roman"/>
          <w:b/>
          <w:i/>
          <w:color w:val="000000" w:themeColor="text1"/>
          <w:sz w:val="28"/>
          <w:szCs w:val="28"/>
          <w:lang w:val="uk-UA"/>
        </w:rPr>
        <w:t xml:space="preserve">будь-які примусові дії з боку роботодавця є неприпустимими.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24 березня набрав чинності Закон від 15.03.2022 № 2136-ІХ «Про організацію трудових відносин в умовах воєнного стану» (далі – Закон № 2136). Цим законом установлено обмеження та особливості організації трудових відносин під час дії воєнного стану, запровадженого відповідно до Закону від 12.05.2015 № 389-VIII «Про правовий режим воєнного стану». Закон № 2136 діє лише протягом періоду воєнного стану та втрачає чинність із дня його припинення або скасування, крім ч. 3 ст. 13 Закону № 2136 (вона втрачає чинність з моменту завершення виплати державою, що здійснює військову агресію проти України, відшкодування заробітної плати, гарантійних та компенсаційних виплат працівникам).</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 xml:space="preserve">Коли працівника можна звільнити </w:t>
      </w:r>
      <w:r w:rsidRPr="00310F7E">
        <w:rPr>
          <w:rFonts w:ascii="Times New Roman" w:hAnsi="Times New Roman" w:cs="Times New Roman"/>
          <w:color w:val="000000" w:themeColor="text1"/>
          <w:sz w:val="28"/>
          <w:szCs w:val="28"/>
          <w:lang w:val="uk-UA"/>
        </w:rPr>
        <w:t xml:space="preserve">Насамперед зазначимо, що звільнення з примусу не допускається. Незважаючи на те що чимало роботодавців намагаються в різний спосіб вирішити питання невиходу працівників на роботу та неможливість забезпечити працівників роботою, </w:t>
      </w:r>
      <w:r w:rsidRPr="00310F7E">
        <w:rPr>
          <w:rFonts w:ascii="Times New Roman" w:hAnsi="Times New Roman" w:cs="Times New Roman"/>
          <w:i/>
          <w:color w:val="000000" w:themeColor="text1"/>
          <w:sz w:val="28"/>
          <w:szCs w:val="28"/>
          <w:lang w:val="uk-UA"/>
        </w:rPr>
        <w:lastRenderedPageBreak/>
        <w:t>звертатися до працівників з вимогою про написання заяв про звільнення з визначенням конкретної дати чи без неї – не можна</w:t>
      </w:r>
      <w:r w:rsidRPr="00310F7E">
        <w:rPr>
          <w:rFonts w:ascii="Times New Roman" w:hAnsi="Times New Roman" w:cs="Times New Roman"/>
          <w:color w:val="000000" w:themeColor="text1"/>
          <w:sz w:val="28"/>
          <w:szCs w:val="28"/>
          <w:lang w:val="uk-UA"/>
        </w:rPr>
        <w:t xml:space="preserve">. Звільнення можливе лише за бажання самого працівника, тобто за ст. 38, 39 КЗпП, а також, якщо сторони домовляться – за угодою сторін (п. 1 ст. 36 КЗпП).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Процедура розірвання трудового договору з будь-якої з вищенаведених підстав нічим не відрізняється від процедури звільнення в мирний час. Але існують нюанси отримання заяв, ознайомлення з документами та їх отримання. Так</w:t>
      </w:r>
      <w:r w:rsidRPr="00310F7E">
        <w:rPr>
          <w:rFonts w:ascii="Times New Roman" w:hAnsi="Times New Roman" w:cs="Times New Roman"/>
          <w:i/>
          <w:color w:val="000000" w:themeColor="text1"/>
          <w:sz w:val="28"/>
          <w:szCs w:val="28"/>
          <w:lang w:val="uk-UA"/>
        </w:rPr>
        <w:t>, у ст. 7 Закону № 2136 визначено, що в період дії воєнного стану порядок організації кадрового діловодства в районах активних бойових дій визначається роботодавцем самостійно</w:t>
      </w:r>
      <w:r w:rsidRPr="00310F7E">
        <w:rPr>
          <w:rFonts w:ascii="Times New Roman" w:hAnsi="Times New Roman" w:cs="Times New Roman"/>
          <w:color w:val="000000" w:themeColor="text1"/>
          <w:sz w:val="28"/>
          <w:szCs w:val="28"/>
          <w:lang w:val="uk-UA"/>
        </w:rPr>
        <w:t xml:space="preserve">. Тож ці процедури можуть бути визначені в будь-який зручний та доступний для конкретного підприємства спосіб. Але зверніть увагу, що ця норма стосується лише підприємств, розташованих у районах, де ведуться активні бойові дії.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Як відомо, згідно з КЗпП працівник, який бажає припинити трудові відносини, укладені на невизначений строк (ч. 1 ст. 38 КЗпП), повинен попередити роботодавця письмово за два тижні. Ця норма є чинною і нині, але відповідно до ст. 4 Закону № 2136 формулювання статті є таким: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  Це означає, що згідно зі ст. 38 КЗпП працівник має право розірвати трудовий договір, укладений на невизначений строк, попередивши про це роботодавця письмово за два тижні.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Крім того, у ст. 38 КЗпП наводяться випадки, коли працівник може просити розірвати трудовий договір у строк, про який він просить, а саме: переїзд на нове місце проживання; переведення чоловіка/дружини на роботу в іншу місцевість; вступ до навчального закладу; неможливість проживання в даній місцевості, що підтверджується медичним висновком; вагітність; догляд за дитиною до досягнення нею 14 років; догляд за дитиною з інвалідністю; догляд за хворим членом сім’ї, що підтверджується медичним висновком; догляд за особою з інвалідністю І групи; вихід на пенсію; прийняття на роботу за конкурсом, а також інші поважні причини.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i/>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Водночас такої підстави, як ведення бойових дій, у цьому переліку немає.  Тож </w:t>
      </w:r>
      <w:r w:rsidRPr="00310F7E">
        <w:rPr>
          <w:rFonts w:ascii="Times New Roman" w:hAnsi="Times New Roman" w:cs="Times New Roman"/>
          <w:i/>
          <w:color w:val="000000" w:themeColor="text1"/>
          <w:sz w:val="28"/>
          <w:szCs w:val="28"/>
          <w:lang w:val="uk-UA"/>
        </w:rPr>
        <w:t xml:space="preserve">з 24 березня норми ст. 4 Закону № 2136 надають право працівникові припинити трудовий договір із власної ініціативи у строк, зазначений у його заяві, за таких умов: ведення бойових дій у районах, в яких розташоване підприємство, установа, організація, та існування загрози для життя і здоров’я працівника;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на об’єктах критичної інфраструктури.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 xml:space="preserve">Якщо із працівником до початку війни було укладено строковий трудовий договір, його розірвання за бажанням працівника також може </w:t>
      </w:r>
      <w:r w:rsidRPr="00310F7E">
        <w:rPr>
          <w:rFonts w:ascii="Times New Roman" w:hAnsi="Times New Roman" w:cs="Times New Roman"/>
          <w:b/>
          <w:i/>
          <w:color w:val="000000" w:themeColor="text1"/>
          <w:sz w:val="28"/>
          <w:szCs w:val="28"/>
          <w:lang w:val="uk-UA"/>
        </w:rPr>
        <w:lastRenderedPageBreak/>
        <w:t>відбуватися за ст. 39 КЗпП, але порядок такого звільнення має певні особливості.</w:t>
      </w:r>
      <w:r w:rsidRPr="00310F7E">
        <w:rPr>
          <w:rFonts w:ascii="Times New Roman" w:hAnsi="Times New Roman" w:cs="Times New Roman"/>
          <w:color w:val="000000" w:themeColor="text1"/>
          <w:sz w:val="28"/>
          <w:szCs w:val="28"/>
          <w:lang w:val="uk-UA"/>
        </w:rPr>
        <w:t xml:space="preserve"> У разі укладення строкового трудового договору працівник погоджується на трудові відносини, які мають тривати певний строк (період), тож за нормами трудового законодавства він не може звільнитися за власним бажанням без поважних причин.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Строковий трудовий договір може бути розірвано достроково на вимогу працівника лише в разі: його хвороби або інвалідності, які перешкоджають виконанню роботи за договором; порушення роботодавцем законодавства про працю, колективного або трудового договору та у випадках, визначених ч. 1 ст. 38 КЗпП (тобто винятково з поважних причин, наведених вище), тому, на думку автора, норму ст. 4 Закону № 2136 можна застосовувати й у разі припинення строкового трудового договору.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Норми ст. 39 КЗпП строків звільнення не визначають</w:t>
      </w:r>
      <w:r w:rsidRPr="00310F7E">
        <w:rPr>
          <w:rFonts w:ascii="Times New Roman" w:hAnsi="Times New Roman" w:cs="Times New Roman"/>
          <w:color w:val="000000" w:themeColor="text1"/>
          <w:sz w:val="28"/>
          <w:szCs w:val="28"/>
          <w:lang w:val="uk-UA"/>
        </w:rPr>
        <w:t xml:space="preserve">. А отже, можна вважати, що працівник може просити звільнити його в будь-який строк, але з певних причин. Зазвичай ця процедура оформлюється письмовим попередженням роботодавця про звільнення, що подається працівником. Ми звикли приймати його у формі заяви, однак у нинішніх умовах це виконати не так просто.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Отримані повідомлення, за можливості, варто зафіксувати в акті та зберігати цей документ як доказ, що працівник особисто виявив бажання звільнитися</w:t>
      </w:r>
      <w:r w:rsidRPr="00310F7E">
        <w:rPr>
          <w:rFonts w:ascii="Times New Roman" w:hAnsi="Times New Roman" w:cs="Times New Roman"/>
          <w:color w:val="000000" w:themeColor="text1"/>
          <w:sz w:val="28"/>
          <w:szCs w:val="28"/>
          <w:lang w:val="uk-UA"/>
        </w:rPr>
        <w:t>. Як варіант, працівник також може надіслати відео, висловивши ньому своє бажання. Звісно, такі повідомлення є незвичними, але у воєнний час це вихід із ситуації. Окрім вищезгаданих статей КЗпП сторони строкового та безстрокового трудового договору можуть також дійти згоди щодо припинення трудових відносин під час воєнного стану за угодою сторін за п. 1 ст. 36 КЗпП. Законодавством не встановлено порядку та строків розірвання трудового договору за цією підставою, тож вони визначаються працівником і роботодавцем самостійно в кожному конкретному випадку, а у воєнний час, на думку автора, ця підстава є найоптимальнішою.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Як зазначено вище, припинення трудового договору за власним бажанням (незважаючи на строк його укладення) можливе лише в разі попередження роботодавця за два тижні. А у бажаний строк припинити трудовий договір можна лише в разі ведення бойових дій та існування загрози для життя і здоров’я працівника та коли робота за трудовим договором не зумовлена примусовим залученням до суспільно корисних робіт в умовах воєнного стану або залученням до виконання робіт на об’єктах критичної інфраструктури.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Ініціатива про припинення трудового договору за угодою сторін може належати як працівникові, так і роботодавцю.</w:t>
      </w:r>
      <w:r w:rsidRPr="00310F7E">
        <w:rPr>
          <w:rFonts w:ascii="Times New Roman" w:hAnsi="Times New Roman" w:cs="Times New Roman"/>
          <w:color w:val="000000" w:themeColor="text1"/>
          <w:sz w:val="28"/>
          <w:szCs w:val="28"/>
          <w:lang w:val="uk-UA"/>
        </w:rPr>
        <w:t xml:space="preserve"> </w:t>
      </w:r>
      <w:r w:rsidRPr="00310F7E">
        <w:rPr>
          <w:rFonts w:ascii="Times New Roman" w:hAnsi="Times New Roman" w:cs="Times New Roman"/>
          <w:i/>
          <w:color w:val="000000" w:themeColor="text1"/>
          <w:sz w:val="28"/>
          <w:szCs w:val="28"/>
          <w:lang w:val="uk-UA"/>
        </w:rPr>
        <w:t xml:space="preserve">У разі звільнення із власної ініціативи працівник так само, як і за власним бажанням, може надіслати заяву через будь-який месенджер або електронну пошту. Зазначати причину звільнення він не зобов’язаний. </w:t>
      </w:r>
      <w:r w:rsidRPr="00310F7E">
        <w:rPr>
          <w:rFonts w:ascii="Times New Roman" w:hAnsi="Times New Roman" w:cs="Times New Roman"/>
          <w:color w:val="000000" w:themeColor="text1"/>
          <w:sz w:val="28"/>
          <w:szCs w:val="28"/>
          <w:lang w:val="uk-UA"/>
        </w:rPr>
        <w:t xml:space="preserve">Щодо роботодавця, то, незважаючи на його право ініціювати припинення трудового договору за </w:t>
      </w:r>
      <w:r w:rsidRPr="00310F7E">
        <w:rPr>
          <w:rFonts w:ascii="Times New Roman" w:hAnsi="Times New Roman" w:cs="Times New Roman"/>
          <w:color w:val="000000" w:themeColor="text1"/>
          <w:sz w:val="28"/>
          <w:szCs w:val="28"/>
          <w:lang w:val="uk-UA"/>
        </w:rPr>
        <w:lastRenderedPageBreak/>
        <w:t xml:space="preserve">угодою сторін, у воєнний час не рекомендується це робити, оскільки такі дії можуть розглядатися як примус. Пам’ятайте, що в разі припинення трудових відносин за власним бажанням та за угодою сторін працівникові може бути надано невикористану відпустку, тож звільнення здійснюватиметься в останній день відпустки. Зауважимо: якщо процедуру розірвання трудового договору за ініціативою роботодавця (наприклад, за п. 1 ст. 40 КЗпП) було розпочато до 24 лютого, роботодавець має право завершити її, дотримуючись норм законодавства.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Статтею 5 Закону № 2136 передбачено, що в період дії воєнного стану допускається звільнення працівника з ініціативи роботодавця в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Водночас особливу увагу варто звернути на те, </w:t>
      </w:r>
      <w:r w:rsidRPr="00310F7E">
        <w:rPr>
          <w:rFonts w:ascii="Times New Roman" w:hAnsi="Times New Roman" w:cs="Times New Roman"/>
          <w:i/>
          <w:color w:val="000000" w:themeColor="text1"/>
          <w:sz w:val="28"/>
          <w:szCs w:val="28"/>
          <w:lang w:val="uk-UA"/>
        </w:rPr>
        <w:t>що таке звільнення відбувається за наявності законних підстав для звільнення працівника з ініціативи роботодавця (ст. 40, 41 КЗпП), а не з підстав самої тимчасової непрацездатності або перебування працівника у відпустці. У  разі такого звільнення вказується дата звільнення, яка є першим робочим днем, що настає за днем закінчення тимчасової непрацездатності, зазначеним у документі про тимчасову непрацездатність,</w:t>
      </w:r>
      <w:r w:rsidRPr="00310F7E">
        <w:rPr>
          <w:rFonts w:ascii="Times New Roman" w:hAnsi="Times New Roman" w:cs="Times New Roman"/>
          <w:color w:val="000000" w:themeColor="text1"/>
          <w:sz w:val="28"/>
          <w:szCs w:val="28"/>
          <w:lang w:val="uk-UA"/>
        </w:rPr>
        <w:t xml:space="preserve"> або першим робочим днем після закінчення відпустки.  Також у період дії воєнного стану норми ст. 43 КЗпП не застосовуються, крім випадків звільнення працівників підприємств, установ або організацій, обраних до профспілкових органів. У зазначеній статті встановлено випадки, коли роботодавцю для розірвання трудового договору необхідно отримати попередню згоду профспілки (профспілкового представника). Водночас розірвання </w:t>
      </w:r>
      <w:r w:rsidRPr="00310F7E">
        <w:rPr>
          <w:rFonts w:ascii="Times New Roman" w:hAnsi="Times New Roman" w:cs="Times New Roman"/>
          <w:i/>
          <w:color w:val="000000" w:themeColor="text1"/>
          <w:sz w:val="28"/>
          <w:szCs w:val="28"/>
          <w:lang w:val="uk-UA"/>
        </w:rPr>
        <w:t>трудового договору з працівниками, обраними до профспілкових органів з підстав, передбачених п. 1 (крім випадку ліквідації), 2–5, 7 ст. 40 і п. 2 і 3 ст. 41, як і раніше, потребують отримання попередньої згоди профспілки</w:t>
      </w:r>
      <w:r w:rsidRPr="00310F7E">
        <w:rPr>
          <w:rFonts w:ascii="Times New Roman" w:hAnsi="Times New Roman" w:cs="Times New Roman"/>
          <w:color w:val="000000" w:themeColor="text1"/>
          <w:sz w:val="28"/>
          <w:szCs w:val="28"/>
          <w:lang w:val="uk-UA"/>
        </w:rPr>
        <w:t xml:space="preserve"> (профспілкового представника). Під час дії воєнного стану припинення строкового трудового договору за п. 2 ст. 36 КЗпП також можливе. Тобто, якщо строк його був обумовлений конкретною датою або певною подією, яка настала навіть після 24 лютого, роботодавець має право звільнити працівника (крім випадків, визначених ст. 184 та 1861 КЗпП), оскільки строк такого договору закінчився. Заява працівника в такому разі не потрібна, але видання наказу про припинення трудових відносин за таким договором є обов’язковим.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 Відповідно до ст. 391 КЗпП</w:t>
      </w:r>
      <w:r w:rsidRPr="00310F7E">
        <w:rPr>
          <w:rFonts w:ascii="Times New Roman" w:hAnsi="Times New Roman" w:cs="Times New Roman"/>
          <w:i/>
          <w:color w:val="000000" w:themeColor="text1"/>
          <w:sz w:val="28"/>
          <w:szCs w:val="28"/>
          <w:lang w:val="uk-UA"/>
        </w:rPr>
        <w:t>, якщо після закінчення строку трудового договору трудові відносини фактично триватимуть і жодна із сторін не вимагатиме їх припинення, дія цього договору вважатиметься продовженою на невизначений строк.</w:t>
      </w:r>
      <w:r w:rsidRPr="00310F7E">
        <w:rPr>
          <w:rFonts w:ascii="Times New Roman" w:hAnsi="Times New Roman" w:cs="Times New Roman"/>
          <w:color w:val="000000" w:themeColor="text1"/>
          <w:sz w:val="28"/>
          <w:szCs w:val="28"/>
          <w:lang w:val="uk-UA"/>
        </w:rPr>
        <w:t xml:space="preserve"> </w:t>
      </w:r>
      <w:r w:rsidRPr="00310F7E">
        <w:rPr>
          <w:rFonts w:ascii="Times New Roman" w:hAnsi="Times New Roman" w:cs="Times New Roman"/>
          <w:i/>
          <w:color w:val="000000" w:themeColor="text1"/>
          <w:sz w:val="28"/>
          <w:szCs w:val="28"/>
          <w:lang w:val="uk-UA"/>
        </w:rPr>
        <w:t>А отже, подальше звільнення проводитиметься за загальними правилами, коли трудовий договір укладений безстроково.</w:t>
      </w:r>
      <w:r w:rsidRPr="00310F7E">
        <w:rPr>
          <w:rFonts w:ascii="Times New Roman" w:hAnsi="Times New Roman" w:cs="Times New Roman"/>
          <w:color w:val="000000" w:themeColor="text1"/>
          <w:sz w:val="28"/>
          <w:szCs w:val="28"/>
          <w:lang w:val="uk-UA"/>
        </w:rPr>
        <w:t xml:space="preserve">  Питання способу отримання працівником або передання йому копії наказу про звільнення та трудової книжки у воєнний час є неврегульованим. Звісно, якщо на підприємстві налагоджено </w:t>
      </w:r>
      <w:r w:rsidRPr="00310F7E">
        <w:rPr>
          <w:rFonts w:ascii="Times New Roman" w:hAnsi="Times New Roman" w:cs="Times New Roman"/>
          <w:color w:val="000000" w:themeColor="text1"/>
          <w:sz w:val="28"/>
          <w:szCs w:val="28"/>
          <w:lang w:val="uk-UA"/>
        </w:rPr>
        <w:lastRenderedPageBreak/>
        <w:t xml:space="preserve">електронний документообіг і працівники мають кваліфіковані цифрові підписи, працівник може ознайомитися з наказом дистанційно. Але якщо такої можливості немає, а кадровик, наприклад, працює дистанційно, можна телефоном все обговорити, зустрітися в узгоджений день та передати й підписати документи. Якщо ж і це неможливо, то копію наказу працівникові можна надіслати електронною поштою або через месенджер, яким він користується. Якщо працівник відповідає на телефонні дзвінки, кадровик може йому зателефонувати та зачитати наказ про звільнення вголос. Бажано, щоб це було зроблено при свідках, про що варто скласти акт. Акт варто зберігати в особовій справі працівника для убезпечення себе в подальших можливих судових спорах.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Щодо оформлення та видачі трудової книжки варто зазначити таке. Якщо працівника було прийнято на роботу після 10.06.2021, працівник міг взагалі не надавати її або ж за його бажанням запис про прийняття було внесено, але трудова книжка зберігалася у працівника. У цих випадках питання оформлення та видачі трудової книжки не </w:t>
      </w:r>
      <w:r w:rsidRPr="00310F7E">
        <w:rPr>
          <w:rFonts w:ascii="Times New Roman" w:hAnsi="Times New Roman" w:cs="Times New Roman"/>
          <w:b/>
          <w:i/>
          <w:color w:val="000000" w:themeColor="text1"/>
          <w:sz w:val="28"/>
          <w:szCs w:val="28"/>
          <w:lang w:val="uk-UA"/>
        </w:rPr>
        <w:t>стоятиме. Але якщо трудова книжка все ж таки зберігалася на підприємстві, її необхідно оформити та, щоб не порушувати законодавство, видати працівникові в день звільнення або надіслати йому поштове повідомлення, зазначивши в ньому про необхідність отримання трудової книжки.</w:t>
      </w:r>
      <w:r w:rsidRPr="00310F7E">
        <w:rPr>
          <w:rFonts w:ascii="Times New Roman" w:hAnsi="Times New Roman" w:cs="Times New Roman"/>
          <w:color w:val="000000" w:themeColor="text1"/>
          <w:sz w:val="28"/>
          <w:szCs w:val="28"/>
          <w:lang w:val="uk-UA"/>
        </w:rPr>
        <w:t xml:space="preserve"> Таке повідомлення може бути надіслане й електронною поштою. </w:t>
      </w:r>
    </w:p>
    <w:p w:rsid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Нагадаємо, що пересилання трудової книжки поштою з доставкою на зазначену адресу допускається лише за письмовою згодою працівника</w:t>
      </w:r>
      <w:r w:rsidRPr="00310F7E">
        <w:rPr>
          <w:rFonts w:ascii="Times New Roman" w:hAnsi="Times New Roman" w:cs="Times New Roman"/>
          <w:color w:val="000000" w:themeColor="text1"/>
          <w:sz w:val="28"/>
          <w:szCs w:val="28"/>
          <w:lang w:val="uk-UA"/>
        </w:rPr>
        <w:t xml:space="preserve">. Якщо працівник не має змоги отримати трудову книжку (її передання або пересилання неможливі), у заяві про звільнення працівник може висловити своє прохання про зберігання трудової книжки на підприємстві до відновлення можливості її отримати. Такий варіант трудовим законодавством не передбачено, але це є можливим виходом із ситуації, яка склалася на сьогодні. </w:t>
      </w:r>
      <w:r w:rsidRPr="00310F7E">
        <w:rPr>
          <w:rFonts w:ascii="Times New Roman" w:hAnsi="Times New Roman" w:cs="Times New Roman"/>
          <w:i/>
          <w:color w:val="000000" w:themeColor="text1"/>
          <w:sz w:val="28"/>
          <w:szCs w:val="28"/>
          <w:lang w:val="uk-UA"/>
        </w:rPr>
        <w:t>Нагадаємо, що в день звільнення роботодавець зобов’язаний не тільки видати копію наказу про звільнення та трудову книжку (за наявності), а й провести із працівником повний розрахунок (ст. 47 КЗпП). Якщо звертатися до ст. 7 Закону № 1706, то внутрішньо переміщені особи, які не звільнилися з роботи, можуть перервати трудові відносини, надавши нотаріально посвідчену письмову заяву про припинення трудових відносин з підтвердженням того, що таку заяву було надіслано роботодавцеві рекомендованим листом</w:t>
      </w:r>
      <w:r w:rsidRPr="00310F7E">
        <w:rPr>
          <w:rFonts w:ascii="Times New Roman" w:hAnsi="Times New Roman" w:cs="Times New Roman"/>
          <w:color w:val="000000" w:themeColor="text1"/>
          <w:sz w:val="28"/>
          <w:szCs w:val="28"/>
          <w:lang w:val="uk-UA"/>
        </w:rPr>
        <w:t xml:space="preserve"> (з описом вкладеної заяви).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Якщо надіслати заяву поштою неможливо через припинення приймання поштових відправлень на відповідній території, заява подається до районного, міськрайонного, міського, районного в місті центру зайнятості за місцем проживання внутрішньо переміщеної особи.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 xml:space="preserve">Отже, для підтвердження звільнення необхідно надати: нотаріально завірену заяву про звільнення; поштову квитанцію з описом вкладення поштового відправлення (в описі має бути чітко зазначено, що надсилається заява про звільнення, а також прізвище, ім’я, по батькові </w:t>
      </w:r>
      <w:r w:rsidRPr="00310F7E">
        <w:rPr>
          <w:rFonts w:ascii="Times New Roman" w:hAnsi="Times New Roman" w:cs="Times New Roman"/>
          <w:b/>
          <w:i/>
          <w:color w:val="000000" w:themeColor="text1"/>
          <w:sz w:val="28"/>
          <w:szCs w:val="28"/>
          <w:lang w:val="uk-UA"/>
        </w:rPr>
        <w:lastRenderedPageBreak/>
        <w:t>заявника і назва підприємства, на яке надіслано заяву).</w:t>
      </w:r>
      <w:r w:rsidRPr="00310F7E">
        <w:rPr>
          <w:rFonts w:ascii="Times New Roman" w:hAnsi="Times New Roman" w:cs="Times New Roman"/>
          <w:color w:val="000000" w:themeColor="text1"/>
          <w:sz w:val="28"/>
          <w:szCs w:val="28"/>
          <w:lang w:val="uk-UA"/>
        </w:rPr>
        <w:t xml:space="preserve"> Особи, </w:t>
      </w:r>
      <w:r w:rsidRPr="00310F7E">
        <w:rPr>
          <w:rFonts w:ascii="Times New Roman" w:hAnsi="Times New Roman" w:cs="Times New Roman"/>
          <w:i/>
          <w:color w:val="000000" w:themeColor="text1"/>
          <w:sz w:val="28"/>
          <w:szCs w:val="28"/>
          <w:lang w:val="uk-UA"/>
        </w:rPr>
        <w:t>які були звільнені з роботи, за відсутності документів, що підтверджують факт їх звільнення, реєструються як безробітні й отримують допомогу по безробіттю. Внутрішньо переміщені особи, які не мають документів, необхідних для отримання статусу безробітного, отримують такий статус без вимог, які застосовуються під час звичайної процедури</w:t>
      </w:r>
      <w:r w:rsidRPr="00310F7E">
        <w:rPr>
          <w:rFonts w:ascii="Times New Roman" w:hAnsi="Times New Roman" w:cs="Times New Roman"/>
          <w:color w:val="000000" w:themeColor="text1"/>
          <w:sz w:val="28"/>
          <w:szCs w:val="28"/>
          <w:lang w:val="uk-UA"/>
        </w:rPr>
        <w:t xml:space="preserve">. </w:t>
      </w:r>
      <w:r w:rsidRPr="00310F7E">
        <w:rPr>
          <w:rFonts w:ascii="Times New Roman" w:hAnsi="Times New Roman" w:cs="Times New Roman"/>
          <w:i/>
          <w:color w:val="000000" w:themeColor="text1"/>
          <w:sz w:val="28"/>
          <w:szCs w:val="28"/>
          <w:lang w:val="uk-UA"/>
        </w:rPr>
        <w:t>Таким особам виплачується допомога по безробіттю в мінімальному розмірі до отримання документів і відомостей про періоди трудової діяльності, заробітну плату та страховий стаж.</w:t>
      </w:r>
      <w:r w:rsidRPr="00310F7E">
        <w:rPr>
          <w:rFonts w:ascii="Times New Roman" w:hAnsi="Times New Roman" w:cs="Times New Roman"/>
          <w:color w:val="000000" w:themeColor="text1"/>
          <w:sz w:val="28"/>
          <w:szCs w:val="28"/>
          <w:lang w:val="uk-UA"/>
        </w:rPr>
        <w:t xml:space="preserve"> Зазначений порядок припинення трудових відносин передбачено Законом № 1706 для набуття статусу безробітного й отримання допомоги по безробіттю та інших соціальних послуг. Він може застосовуватися за аналогією і для інших цілей.</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Крім цього, для припинення трудового договору працівник може звернутися до суду із заявою про встановлення факту припинення трудових відносин. Зауважимо також, що в разі працевлаштування внутрішньо переміщених осіб унаслідок проведення бойових дій під час воєнного стану в Україні уряд компенсує витрати на виплату їм заробітної плати. Відповідний Порядок надання роботодавцю компенсації витрат на оплату праці затверджено постановою КМУ від 20.03.2022 № 331.  Зміна режиму роботи Якщо працівник не просить про звільнення, але повідомляє, що перебуває в іншому місці або за межами країни та може працювати, йому може бути встановлено відмінний від звичайного режим роботи – дистанційний. Його запровадження може ініціювати як працівник, так і роботодавець.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Відповідно до ст. 602 КЗпП дистанційна робота – це форма організації праці, за якої робота виконується працівником поза робочими приміщеннями чи територією роботодавця в будь-якому місці за вибором працівника та з використанням інформаційно-комунікаційних технологій.</w:t>
      </w:r>
      <w:r w:rsidRPr="00310F7E">
        <w:rPr>
          <w:rFonts w:ascii="Times New Roman" w:hAnsi="Times New Roman" w:cs="Times New Roman"/>
          <w:color w:val="000000" w:themeColor="text1"/>
          <w:sz w:val="28"/>
          <w:szCs w:val="28"/>
          <w:lang w:val="uk-UA"/>
        </w:rPr>
        <w:t xml:space="preserve"> </w:t>
      </w:r>
      <w:r w:rsidRPr="00310F7E">
        <w:rPr>
          <w:rFonts w:ascii="Times New Roman" w:hAnsi="Times New Roman" w:cs="Times New Roman"/>
          <w:i/>
          <w:color w:val="000000" w:themeColor="text1"/>
          <w:sz w:val="28"/>
          <w:szCs w:val="28"/>
          <w:lang w:val="uk-UA"/>
        </w:rPr>
        <w:t>У разі дистанційної роботи працівник самостійно визначає робоче місце. Під час такої роботи працівник розподіляє робочий час на власний розсуд, йому гарантується період вільного часу для відпочинку</w:t>
      </w:r>
      <w:r w:rsidRPr="00310F7E">
        <w:rPr>
          <w:rFonts w:ascii="Times New Roman" w:hAnsi="Times New Roman" w:cs="Times New Roman"/>
          <w:color w:val="000000" w:themeColor="text1"/>
          <w:sz w:val="28"/>
          <w:szCs w:val="28"/>
          <w:lang w:val="uk-UA"/>
        </w:rPr>
        <w:t xml:space="preserve"> тощо, що є актуальним на сьогодні, коли нерідко протягом робочого дня можуть включатися сирени тривоги.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роботодавця без обов’язкового укладення трудового договору про дистанційну роботу в письмовій формі. З таким наказом працівник має бути ознайомлений протягом двох днів із дня його прийняття, але до запровадження дистанційної роботи.</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Проте у воєнний час ця норма не може бути дотримана, оскільки війна Україною не планувалася. </w:t>
      </w:r>
      <w:r w:rsidRPr="00310F7E">
        <w:rPr>
          <w:rFonts w:ascii="Times New Roman" w:hAnsi="Times New Roman" w:cs="Times New Roman"/>
          <w:i/>
          <w:color w:val="000000" w:themeColor="text1"/>
          <w:sz w:val="28"/>
          <w:szCs w:val="28"/>
          <w:lang w:val="uk-UA"/>
        </w:rPr>
        <w:t xml:space="preserve">Незалежно від того, хто стане ініціатором запровадження дистанційної роботи (працівник чи роботодавець), норми ч. 3 ст. 32 КЗпП (зміна істотних умов праці) у період воєнного стану не застосовуються. Таку норму передбачено також ст. 3 Закону № 2136. Якщо працівник дистанційно продовжує виконувати свої обов’язки, табелювання </w:t>
      </w:r>
      <w:r w:rsidRPr="00310F7E">
        <w:rPr>
          <w:rFonts w:ascii="Times New Roman" w:hAnsi="Times New Roman" w:cs="Times New Roman"/>
          <w:i/>
          <w:color w:val="000000" w:themeColor="text1"/>
          <w:sz w:val="28"/>
          <w:szCs w:val="28"/>
          <w:lang w:val="uk-UA"/>
        </w:rPr>
        <w:lastRenderedPageBreak/>
        <w:t>має проводитися в тому самому порядку, як і в разі виконання роботи в мирний час.</w:t>
      </w:r>
      <w:r w:rsidRPr="00310F7E">
        <w:rPr>
          <w:rFonts w:ascii="Times New Roman" w:hAnsi="Times New Roman" w:cs="Times New Roman"/>
          <w:color w:val="000000" w:themeColor="text1"/>
          <w:sz w:val="28"/>
          <w:szCs w:val="28"/>
          <w:lang w:val="uk-UA"/>
        </w:rPr>
        <w:t xml:space="preserve"> Тобто, якщо працівникові встановлено нормальний режим роботи тривалістю 40 год. на тиждень та всі дні будуть відпрацьовані, вони мають бути протабельовані з відміткою «Р» з можливим позначенням відпрацьованих годин «Р/8». Якщо ж під час встановлення дистанційної роботи змінено нормальний режим роботи на неповний робочий час, табелювання має здійснюватися відповідно до встановлених годин (наприклад «РС/4»).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i/>
          <w:color w:val="000000" w:themeColor="text1"/>
          <w:sz w:val="28"/>
          <w:szCs w:val="28"/>
          <w:lang w:val="uk-UA"/>
        </w:rPr>
        <w:t>Надання відпустки</w:t>
      </w:r>
      <w:r w:rsidRPr="00310F7E">
        <w:rPr>
          <w:rFonts w:ascii="Times New Roman" w:hAnsi="Times New Roman" w:cs="Times New Roman"/>
          <w:color w:val="000000" w:themeColor="text1"/>
          <w:sz w:val="28"/>
          <w:szCs w:val="28"/>
          <w:lang w:val="uk-UA"/>
        </w:rPr>
        <w:t xml:space="preserve"> Якщо працівник, який є біженцем або переселенцем, не виявляє бажання звільнитися та не може працювати дистанційно, він може прохати про надання відпустки. </w:t>
      </w:r>
      <w:r w:rsidRPr="00310F7E">
        <w:rPr>
          <w:rFonts w:ascii="Times New Roman" w:hAnsi="Times New Roman" w:cs="Times New Roman"/>
          <w:i/>
          <w:color w:val="000000" w:themeColor="text1"/>
          <w:sz w:val="28"/>
          <w:szCs w:val="28"/>
          <w:lang w:val="uk-UA"/>
        </w:rPr>
        <w:t>Якщо на лютий – березень згідно із графіком припадає передбачена наперед відпустка, заява від працівника не вимагається. Достатньо оформити повідомлення або наказ про надання відпустки та ознайомити працівника з ним</w:t>
      </w:r>
      <w:r w:rsidRPr="00310F7E">
        <w:rPr>
          <w:rFonts w:ascii="Times New Roman" w:hAnsi="Times New Roman" w:cs="Times New Roman"/>
          <w:color w:val="000000" w:themeColor="text1"/>
          <w:sz w:val="28"/>
          <w:szCs w:val="28"/>
          <w:lang w:val="uk-UA"/>
        </w:rPr>
        <w:t xml:space="preserve">. Спосіб ознайомлення з наказом може бути аналогічним ознайомленню з наказом про звільнення. Якщо згідно із графіком на цей період не припадає відпустка, у такій надзвичайній ситуації працівник може звертатися до роботодавця щодо отримання відпусток, на які він має право.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i/>
          <w:color w:val="000000" w:themeColor="text1"/>
          <w:sz w:val="28"/>
          <w:szCs w:val="28"/>
          <w:lang w:val="uk-UA"/>
        </w:rPr>
      </w:pPr>
      <w:r w:rsidRPr="00310F7E">
        <w:rPr>
          <w:rFonts w:ascii="Times New Roman" w:hAnsi="Times New Roman" w:cs="Times New Roman"/>
          <w:i/>
          <w:color w:val="000000" w:themeColor="text1"/>
          <w:sz w:val="28"/>
          <w:szCs w:val="28"/>
          <w:lang w:val="uk-UA"/>
        </w:rPr>
        <w:t xml:space="preserve">Це стосується щорічних (основної та додаткових) та соціальних відпусток, а також відпустки без збереження зарплати, у т. ч. й відпустки на період карантину. </w:t>
      </w:r>
      <w:r w:rsidRPr="00310F7E">
        <w:rPr>
          <w:rFonts w:ascii="Times New Roman" w:hAnsi="Times New Roman" w:cs="Times New Roman"/>
          <w:b/>
          <w:i/>
          <w:color w:val="000000" w:themeColor="text1"/>
          <w:sz w:val="28"/>
          <w:szCs w:val="28"/>
          <w:lang w:val="uk-UA"/>
        </w:rPr>
        <w:t>Відповідно до ст. 12 Закону № 2136 на період воєнного стану щорічна основна оплачувана відпустка надається працівникам тривалістю 24 календарних дні</w:t>
      </w:r>
      <w:r w:rsidRPr="00310F7E">
        <w:rPr>
          <w:rFonts w:ascii="Times New Roman" w:hAnsi="Times New Roman" w:cs="Times New Roman"/>
          <w:i/>
          <w:color w:val="000000" w:themeColor="text1"/>
          <w:sz w:val="28"/>
          <w:szCs w:val="28"/>
          <w:lang w:val="uk-UA"/>
        </w:rPr>
        <w:t xml:space="preserve">.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Проте на цей період </w:t>
      </w:r>
      <w:r w:rsidRPr="00310F7E">
        <w:rPr>
          <w:rFonts w:ascii="Times New Roman" w:hAnsi="Times New Roman" w:cs="Times New Roman"/>
          <w:i/>
          <w:color w:val="000000" w:themeColor="text1"/>
          <w:sz w:val="28"/>
          <w:szCs w:val="28"/>
          <w:lang w:val="uk-UA"/>
        </w:rPr>
        <w:t xml:space="preserve">роботодавець наділяється правом відмовляти працівникові в наданні будь-яких видів відпусток, але </w:t>
      </w:r>
      <w:r w:rsidRPr="00310F7E">
        <w:rPr>
          <w:rFonts w:ascii="Times New Roman" w:hAnsi="Times New Roman" w:cs="Times New Roman"/>
          <w:b/>
          <w:i/>
          <w:color w:val="000000" w:themeColor="text1"/>
          <w:sz w:val="28"/>
          <w:szCs w:val="28"/>
          <w:lang w:val="uk-UA"/>
        </w:rPr>
        <w:t>лише в разі, якщо працівника залучено до виконання робіт на об’єктах критичної інфраструктури</w:t>
      </w:r>
      <w:r w:rsidRPr="00310F7E">
        <w:rPr>
          <w:rFonts w:ascii="Times New Roman" w:hAnsi="Times New Roman" w:cs="Times New Roman"/>
          <w:i/>
          <w:color w:val="000000" w:themeColor="text1"/>
          <w:sz w:val="28"/>
          <w:szCs w:val="28"/>
          <w:lang w:val="uk-UA"/>
        </w:rPr>
        <w:t>.</w:t>
      </w:r>
      <w:r w:rsidRPr="00310F7E">
        <w:rPr>
          <w:rFonts w:ascii="Times New Roman" w:hAnsi="Times New Roman" w:cs="Times New Roman"/>
          <w:color w:val="000000" w:themeColor="text1"/>
          <w:sz w:val="28"/>
          <w:szCs w:val="28"/>
          <w:lang w:val="uk-UA"/>
        </w:rPr>
        <w:t xml:space="preserve">  Утім, якщо до роботодавця об’єкта критичної інфраструктури звернеться працівник, залучений до виконання робіт на такому об’єкті, із проханням надати відпустку у зв’язку вагітністю та пологами та/або відпустку для догляду за дитиною, роботодавець не може відмовити в її наданні. Це, швидше всього,  стосується відпусток для догляду за дитиною до досягнення нею як трирічного, так і шестирічного віку.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 xml:space="preserve">Як і в разі подання заяви про звільнення, зважаючи на надзвичайний стан, заява про надання відпустки може бути надіслана будь-яким способом (через Viber, Telegram тощо). Тобто якщо роботодавцю надійде така заява, а він не проти надати відпустку (на сьогодні роботодавці-підприємства некритичної інфраструктури та розміщені там, де ведуться воєнні дії, навряд чи будуть проти її надання), працівник, відповідальний за ведення кадрового обліку або той, хто його замінює, має оформити наказ про надання такої відпустки. Відпустки </w:t>
      </w:r>
      <w:r w:rsidRPr="00310F7E">
        <w:rPr>
          <w:rFonts w:ascii="Times New Roman" w:hAnsi="Times New Roman" w:cs="Times New Roman"/>
          <w:b/>
          <w:i/>
          <w:color w:val="000000" w:themeColor="text1"/>
          <w:sz w:val="28"/>
          <w:szCs w:val="28"/>
          <w:lang w:val="uk-UA"/>
        </w:rPr>
        <w:t>можуть надаватися лише за бажанням працівників</w:t>
      </w:r>
      <w:r w:rsidRPr="00310F7E">
        <w:rPr>
          <w:rFonts w:ascii="Times New Roman" w:hAnsi="Times New Roman" w:cs="Times New Roman"/>
          <w:color w:val="000000" w:themeColor="text1"/>
          <w:sz w:val="28"/>
          <w:szCs w:val="28"/>
          <w:lang w:val="uk-UA"/>
        </w:rPr>
        <w:t xml:space="preserve">. І це стосується всіх відпусток, у т. ч. «обов’язкових» відпусток без збереження зарплати та тих, що надаються за згодою сторін (за сімейними обставинами чи відпустки на період карантину). </w:t>
      </w:r>
      <w:r w:rsidRPr="00310F7E">
        <w:rPr>
          <w:rFonts w:ascii="Times New Roman" w:hAnsi="Times New Roman" w:cs="Times New Roman"/>
          <w:i/>
          <w:color w:val="000000" w:themeColor="text1"/>
          <w:sz w:val="28"/>
          <w:szCs w:val="28"/>
          <w:lang w:val="uk-UA"/>
        </w:rPr>
        <w:t xml:space="preserve">Тобто роботодавець не має права звернутися до працівника з вимогою написати заяву про надання </w:t>
      </w:r>
      <w:r w:rsidRPr="00310F7E">
        <w:rPr>
          <w:rFonts w:ascii="Times New Roman" w:hAnsi="Times New Roman" w:cs="Times New Roman"/>
          <w:i/>
          <w:color w:val="000000" w:themeColor="text1"/>
          <w:sz w:val="28"/>
          <w:szCs w:val="28"/>
          <w:lang w:val="uk-UA"/>
        </w:rPr>
        <w:lastRenderedPageBreak/>
        <w:t>відпустки без збереження зарплат</w:t>
      </w:r>
      <w:r w:rsidRPr="00310F7E">
        <w:rPr>
          <w:rFonts w:ascii="Times New Roman" w:hAnsi="Times New Roman" w:cs="Times New Roman"/>
          <w:color w:val="000000" w:themeColor="text1"/>
          <w:sz w:val="28"/>
          <w:szCs w:val="28"/>
          <w:lang w:val="uk-UA"/>
        </w:rPr>
        <w:t xml:space="preserve">и. Відповідно до ч. 3 ст. 26 Закону від 15.11.1996 № 504/96-ВР «Про відпустки»  (далі – Закон № 504) на час карантину тривалість відпустки без збереження зарплати за згодою сторін не обмежується 15 календарними днями. А карантин в Україні на разі продовжено до 31 травня 2022 (постанова КМУ від 23.02.2022 № 229 «Про внесення змін до постанов Кабінету Міністрів України від 9 грудня 2020 р. № 1236 і від 29 червня 2021 р. № 677»).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i/>
          <w:color w:val="000000" w:themeColor="text1"/>
          <w:sz w:val="28"/>
          <w:szCs w:val="28"/>
          <w:lang w:val="uk-UA"/>
        </w:rPr>
      </w:pPr>
      <w:r w:rsidRPr="00310F7E">
        <w:rPr>
          <w:rFonts w:ascii="Times New Roman" w:hAnsi="Times New Roman" w:cs="Times New Roman"/>
          <w:color w:val="000000" w:themeColor="text1"/>
          <w:sz w:val="28"/>
          <w:szCs w:val="28"/>
          <w:lang w:val="uk-UA"/>
        </w:rPr>
        <w:t xml:space="preserve">Крім того, протягом періоду воєнного стану роботодавець на прохання працівника може надавати відпустку без збереження зарплати </w:t>
      </w:r>
      <w:r w:rsidRPr="00310F7E">
        <w:rPr>
          <w:rFonts w:ascii="Times New Roman" w:hAnsi="Times New Roman" w:cs="Times New Roman"/>
          <w:b/>
          <w:i/>
          <w:color w:val="000000" w:themeColor="text1"/>
          <w:sz w:val="28"/>
          <w:szCs w:val="28"/>
          <w:lang w:val="uk-UA"/>
        </w:rPr>
        <w:t>без урахування норм ч. 1 ст. 26 Закону № 504.</w:t>
      </w:r>
      <w:r w:rsidRPr="00310F7E">
        <w:rPr>
          <w:rFonts w:ascii="Times New Roman" w:hAnsi="Times New Roman" w:cs="Times New Roman"/>
          <w:color w:val="000000" w:themeColor="text1"/>
          <w:sz w:val="28"/>
          <w:szCs w:val="28"/>
          <w:lang w:val="uk-UA"/>
        </w:rPr>
        <w:t xml:space="preserve"> </w:t>
      </w:r>
      <w:r w:rsidRPr="00310F7E">
        <w:rPr>
          <w:rFonts w:ascii="Times New Roman" w:hAnsi="Times New Roman" w:cs="Times New Roman"/>
          <w:i/>
          <w:color w:val="000000" w:themeColor="text1"/>
          <w:sz w:val="28"/>
          <w:szCs w:val="28"/>
          <w:lang w:val="uk-UA"/>
        </w:rPr>
        <w:t xml:space="preserve">Нагадаємо, що на підставі цієї норми за сімейними обставинами та з інших причин працівникові може надаватися відпустка без збереження зарплати тривалістю, обумовленою угодою між працівником та роботодавцем, не більше 15 календарних днів на рік, але поки триватиме воєнний стан (на разі до 25 квітня), така відпустка може надаватися хоч на весь цей період. </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lang w:val="uk-UA"/>
        </w:rPr>
        <w:t>Однак, відпустка без збереження зарплати може надаватися лише з ініціативи працівника, а роботодавець має право відмовити працівникові в наданні такої відпустки, якщо підприємство, де він працює, належить до критичної інфраструктури. Відпустки можна табелювати з такими позначками: щорічна основна відпустка – «В»; щорічна додаткова відпустка – «Д»; додаткова відпустка без збереження заробітної плати в обов’язковому порядку – «ДБ»; додаткова оплачувана відпустка працівникам, які мають дітей – «ДО»; відпустка без збереження зарплати в обов’язковому порядку – «ОВ»; відпустка без збереження зарплати за згодою сторін – «НА»; відпустка без збереження зарплати за згодою сторін на період карантину – «КВ».</w:t>
      </w:r>
    </w:p>
    <w:p w:rsidR="005C07AE" w:rsidRPr="00310F7E" w:rsidRDefault="005C07AE" w:rsidP="005C07AE">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b/>
          <w:color w:val="000000" w:themeColor="text1"/>
          <w:sz w:val="28"/>
          <w:szCs w:val="28"/>
          <w:u w:val="single"/>
          <w:lang w:val="uk-UA"/>
        </w:rPr>
        <w:t>Відсутність зв’язку</w:t>
      </w:r>
      <w:r w:rsidRPr="00310F7E">
        <w:rPr>
          <w:rFonts w:ascii="Times New Roman" w:hAnsi="Times New Roman" w:cs="Times New Roman"/>
          <w:color w:val="000000" w:themeColor="text1"/>
          <w:sz w:val="28"/>
          <w:szCs w:val="28"/>
          <w:lang w:val="uk-UA"/>
        </w:rPr>
        <w:t xml:space="preserve"> Не варто залишати поза увагою й питання відсутності зв’язку із працівником. Не важливо, покинув він домівку в межах країни чи виїхав за кордон, – його відсутність варто вважати нез’ясованою, адже роботодавцю достеменно не відомо, де </w:t>
      </w:r>
      <w:r w:rsidRPr="00310F7E">
        <w:rPr>
          <w:rFonts w:ascii="Times New Roman" w:hAnsi="Times New Roman" w:cs="Times New Roman"/>
          <w:b/>
          <w:i/>
          <w:color w:val="000000" w:themeColor="text1"/>
          <w:sz w:val="28"/>
          <w:szCs w:val="28"/>
          <w:lang w:val="uk-UA"/>
        </w:rPr>
        <w:t>перебуває працівник. Якщо працівник не виходить на зв’язок, табелювати його слід із позначкою «НЗ». На думку автора, неприпустимим є зазначення як робочих днів («Р»), так і інших причин неявок («І» або «ІВ»). Адже працівник не працює та відсутній саме з нез’ясованих, а не з інших причин неявок</w:t>
      </w:r>
      <w:r w:rsidRPr="00310F7E">
        <w:rPr>
          <w:rFonts w:ascii="Times New Roman" w:hAnsi="Times New Roman" w:cs="Times New Roman"/>
          <w:color w:val="000000" w:themeColor="text1"/>
          <w:sz w:val="28"/>
          <w:szCs w:val="28"/>
          <w:lang w:val="uk-UA"/>
        </w:rPr>
        <w:t>, наприклад інший невідпрацьований час, передбачений законодавством (виконання державних і громадських обов’язків, допризовна підготовка, військові збори, донорські, відгул тощо), який позначається буквенним кодом «ІН».</w:t>
      </w:r>
      <w:r w:rsidRPr="00310F7E">
        <w:rPr>
          <w:rFonts w:ascii="Times New Roman" w:hAnsi="Times New Roman" w:cs="Times New Roman"/>
          <w:color w:val="000000" w:themeColor="text1"/>
          <w:sz w:val="28"/>
          <w:szCs w:val="28"/>
          <w:lang w:val="uk-UA"/>
        </w:rPr>
        <w:br/>
      </w:r>
    </w:p>
    <w:p w:rsidR="005C07AE" w:rsidRPr="00310F7E" w:rsidRDefault="005C07AE" w:rsidP="0019200A">
      <w:pPr>
        <w:spacing w:after="0" w:line="240" w:lineRule="auto"/>
        <w:ind w:firstLine="567"/>
        <w:jc w:val="both"/>
        <w:rPr>
          <w:rFonts w:ascii="Times New Roman" w:eastAsia="Times New Roman" w:hAnsi="Times New Roman" w:cs="Times New Roman"/>
          <w:color w:val="000000" w:themeColor="text1"/>
          <w:sz w:val="24"/>
          <w:szCs w:val="24"/>
          <w:lang w:val="uk-UA"/>
        </w:rPr>
      </w:pPr>
    </w:p>
    <w:p w:rsidR="005C07AE" w:rsidRPr="00310F7E" w:rsidRDefault="005C07AE" w:rsidP="005C07AE">
      <w:pPr>
        <w:spacing w:after="0" w:line="240" w:lineRule="auto"/>
        <w:ind w:firstLine="567"/>
        <w:jc w:val="right"/>
        <w:rPr>
          <w:rFonts w:ascii="Times New Roman" w:eastAsia="Times New Roman" w:hAnsi="Times New Roman" w:cs="Times New Roman"/>
          <w:b/>
          <w:i/>
          <w:color w:val="000000" w:themeColor="text1"/>
          <w:sz w:val="28"/>
          <w:szCs w:val="28"/>
          <w:lang w:val="uk-UA"/>
        </w:rPr>
      </w:pPr>
      <w:r w:rsidRPr="00310F7E">
        <w:rPr>
          <w:rFonts w:ascii="Times New Roman" w:eastAsia="Times New Roman" w:hAnsi="Times New Roman" w:cs="Times New Roman"/>
          <w:b/>
          <w:i/>
          <w:color w:val="000000" w:themeColor="text1"/>
          <w:sz w:val="28"/>
          <w:szCs w:val="28"/>
          <w:lang w:val="uk-UA"/>
        </w:rPr>
        <w:t>Провідні фахівці Головного управління ДПС у Рівненській  обл.</w:t>
      </w:r>
    </w:p>
    <w:p w:rsidR="005C07AE" w:rsidRPr="00310F7E" w:rsidRDefault="005C07AE" w:rsidP="005C07AE">
      <w:pPr>
        <w:spacing w:after="0" w:line="240" w:lineRule="auto"/>
        <w:ind w:firstLine="567"/>
        <w:jc w:val="center"/>
        <w:rPr>
          <w:rFonts w:ascii="Times New Roman" w:eastAsia="Times New Roman" w:hAnsi="Times New Roman" w:cs="Times New Roman"/>
          <w:b/>
          <w:i/>
          <w:color w:val="000000" w:themeColor="text1"/>
          <w:sz w:val="28"/>
          <w:szCs w:val="28"/>
          <w:lang w:val="uk-UA"/>
        </w:rPr>
      </w:pPr>
    </w:p>
    <w:p w:rsidR="005C07AE" w:rsidRPr="00310F7E" w:rsidRDefault="005C07AE" w:rsidP="005C07AE">
      <w:pPr>
        <w:spacing w:after="0" w:line="240" w:lineRule="auto"/>
        <w:ind w:firstLine="567"/>
        <w:jc w:val="center"/>
        <w:rPr>
          <w:rFonts w:ascii="Times New Roman" w:eastAsia="Times New Roman" w:hAnsi="Times New Roman" w:cs="Times New Roman"/>
          <w:b/>
          <w:i/>
          <w:color w:val="000000" w:themeColor="text1"/>
          <w:sz w:val="28"/>
          <w:szCs w:val="28"/>
          <w:lang w:val="uk-UA"/>
        </w:rPr>
      </w:pPr>
      <w:r w:rsidRPr="00310F7E">
        <w:rPr>
          <w:rFonts w:ascii="Times New Roman" w:eastAsia="Times New Roman" w:hAnsi="Times New Roman" w:cs="Times New Roman"/>
          <w:b/>
          <w:i/>
          <w:color w:val="000000" w:themeColor="text1"/>
          <w:sz w:val="28"/>
          <w:szCs w:val="28"/>
          <w:lang w:val="uk-UA"/>
        </w:rPr>
        <w:t>ЄСВ</w:t>
      </w:r>
    </w:p>
    <w:p w:rsidR="005C07AE" w:rsidRPr="00310F7E" w:rsidRDefault="005C07AE" w:rsidP="005C07AE">
      <w:pPr>
        <w:shd w:val="clear" w:color="auto" w:fill="FFFFFF"/>
        <w:spacing w:line="240" w:lineRule="auto"/>
        <w:ind w:firstLine="567"/>
        <w:jc w:val="both"/>
        <w:rPr>
          <w:rFonts w:ascii="Times New Roman" w:hAnsi="Times New Roman" w:cs="Times New Roman"/>
          <w:i/>
          <w:iCs/>
          <w:color w:val="000000" w:themeColor="text1"/>
          <w:sz w:val="28"/>
          <w:szCs w:val="28"/>
        </w:rPr>
      </w:pPr>
      <w:r w:rsidRPr="00310F7E">
        <w:rPr>
          <w:rFonts w:ascii="Times New Roman" w:hAnsi="Times New Roman" w:cs="Times New Roman"/>
          <w:b/>
          <w:i/>
          <w:iCs/>
          <w:color w:val="000000" w:themeColor="text1"/>
          <w:sz w:val="28"/>
          <w:szCs w:val="28"/>
          <w:lang w:val="uk-UA"/>
        </w:rPr>
        <w:t>Пробле</w:t>
      </w:r>
      <w:r w:rsidRPr="00310F7E">
        <w:rPr>
          <w:rFonts w:ascii="Times New Roman" w:hAnsi="Times New Roman" w:cs="Times New Roman"/>
          <w:b/>
          <w:i/>
          <w:iCs/>
          <w:color w:val="000000" w:themeColor="text1"/>
          <w:sz w:val="28"/>
          <w:szCs w:val="28"/>
        </w:rPr>
        <w:t>ма донарахування ЄСВ</w:t>
      </w:r>
      <w:r w:rsidRPr="00310F7E">
        <w:rPr>
          <w:rFonts w:ascii="Times New Roman" w:hAnsi="Times New Roman" w:cs="Times New Roman"/>
          <w:i/>
          <w:iCs/>
          <w:color w:val="000000" w:themeColor="text1"/>
          <w:sz w:val="28"/>
          <w:szCs w:val="28"/>
        </w:rPr>
        <w:t xml:space="preserve"> до мінзарплати й досі викликає багато питань, оскільки має свої особливості. Здебільшого питання виникають тоді, коли працівник не працював повний місяць (хворів, був у відпустці, на </w:t>
      </w:r>
      <w:r w:rsidRPr="00310F7E">
        <w:rPr>
          <w:rFonts w:ascii="Times New Roman" w:hAnsi="Times New Roman" w:cs="Times New Roman"/>
          <w:i/>
          <w:iCs/>
          <w:color w:val="000000" w:themeColor="text1"/>
          <w:sz w:val="28"/>
          <w:szCs w:val="28"/>
        </w:rPr>
        <w:lastRenderedPageBreak/>
        <w:t xml:space="preserve">підприємстві був простій тощо), а тому отримав заробітну плату, меншу мінімального розміру. </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Відповідно до </w:t>
      </w:r>
      <w:hyperlink r:id="rId11" w:history="1">
        <w:r w:rsidRPr="00310F7E">
          <w:rPr>
            <w:rFonts w:ascii="Times New Roman" w:hAnsi="Times New Roman" w:cs="Times New Roman"/>
            <w:color w:val="000000" w:themeColor="text1"/>
            <w:sz w:val="28"/>
            <w:szCs w:val="28"/>
          </w:rPr>
          <w:t>ч. 5 ст. 8 Закону № 2464</w:t>
        </w:r>
      </w:hyperlink>
      <w:r w:rsidRPr="00310F7E">
        <w:rPr>
          <w:rFonts w:ascii="Times New Roman" w:hAnsi="Times New Roman" w:cs="Times New Roman"/>
          <w:color w:val="000000" w:themeColor="text1"/>
          <w:sz w:val="28"/>
          <w:szCs w:val="28"/>
        </w:rPr>
        <w:t>,</w:t>
      </w:r>
      <w:r w:rsidRPr="00310F7E">
        <w:rPr>
          <w:rFonts w:ascii="Times New Roman" w:hAnsi="Times New Roman" w:cs="Times New Roman"/>
          <w:bCs/>
          <w:color w:val="000000" w:themeColor="text1"/>
          <w:sz w:val="28"/>
          <w:szCs w:val="28"/>
        </w:rPr>
        <w:t> якщо база нарахування ЄСВ не перевищує розміру мінімальної заробітної плати</w:t>
      </w:r>
      <w:r w:rsidRPr="00310F7E">
        <w:rPr>
          <w:rFonts w:ascii="Times New Roman" w:hAnsi="Times New Roman" w:cs="Times New Roman"/>
          <w:color w:val="000000" w:themeColor="text1"/>
          <w:sz w:val="28"/>
          <w:szCs w:val="28"/>
        </w:rPr>
        <w:t>, установленої законом на місяць, за який отримано дохід, </w:t>
      </w:r>
      <w:r w:rsidRPr="00310F7E">
        <w:rPr>
          <w:rFonts w:ascii="Times New Roman" w:hAnsi="Times New Roman" w:cs="Times New Roman"/>
          <w:bCs/>
          <w:color w:val="000000" w:themeColor="text1"/>
          <w:sz w:val="28"/>
          <w:szCs w:val="28"/>
        </w:rPr>
        <w:t>сума ЄСВ розраховується як добуток розміру мінімальної заробітної плати, установленої законом на місяць, за який отримано дохід (прибуток), і ставки ЄСВ</w:t>
      </w:r>
      <w:r w:rsidRPr="00310F7E">
        <w:rPr>
          <w:rFonts w:ascii="Times New Roman" w:hAnsi="Times New Roman" w:cs="Times New Roman"/>
          <w:color w:val="000000" w:themeColor="text1"/>
          <w:sz w:val="28"/>
          <w:szCs w:val="28"/>
        </w:rPr>
        <w:t>.</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Однак це правило не завжди застосовується.</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Так, при нарахуванні заробітної плати (доходів) фізичним особам з джерел не за основним місцем роботи ставка ЄСВ, установлена </w:t>
      </w:r>
      <w:hyperlink r:id="rId12" w:history="1">
        <w:r w:rsidRPr="00310F7E">
          <w:rPr>
            <w:rFonts w:ascii="Times New Roman" w:hAnsi="Times New Roman" w:cs="Times New Roman"/>
            <w:color w:val="000000" w:themeColor="text1"/>
            <w:sz w:val="28"/>
            <w:szCs w:val="28"/>
          </w:rPr>
          <w:t>цією частиною</w:t>
        </w:r>
      </w:hyperlink>
      <w:r w:rsidRPr="00310F7E">
        <w:rPr>
          <w:rFonts w:ascii="Times New Roman" w:hAnsi="Times New Roman" w:cs="Times New Roman"/>
          <w:color w:val="000000" w:themeColor="text1"/>
          <w:sz w:val="28"/>
          <w:szCs w:val="28"/>
        </w:rPr>
        <w:t>, застосовується до визначеної бази нарахування незалежно від її розміру (</w:t>
      </w:r>
      <w:hyperlink r:id="rId13" w:history="1">
        <w:r w:rsidRPr="00310F7E">
          <w:rPr>
            <w:rFonts w:ascii="Times New Roman" w:hAnsi="Times New Roman" w:cs="Times New Roman"/>
            <w:color w:val="000000" w:themeColor="text1"/>
            <w:sz w:val="28"/>
            <w:szCs w:val="28"/>
          </w:rPr>
          <w:t>ч. 5 ст. 8 Закону № 2464</w:t>
        </w:r>
      </w:hyperlink>
      <w:r w:rsidRPr="00310F7E">
        <w:rPr>
          <w:rFonts w:ascii="Times New Roman" w:hAnsi="Times New Roman" w:cs="Times New Roman"/>
          <w:color w:val="000000" w:themeColor="text1"/>
          <w:sz w:val="28"/>
          <w:szCs w:val="28"/>
        </w:rPr>
        <w:t>).</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Ця норма стосується й нарахування ЄСВ на суму винагороди за договорами цивільно-правового характеру (ЦПХ).</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Також не потрібно донараховувати ЄСВ до мінімальної зарплати на заробітну плату інвалідів, які працюють на підприємстві, де застосовуються ставки 8,41, 5,3 та 5,5 %.</w:t>
      </w:r>
    </w:p>
    <w:p w:rsidR="005C07AE" w:rsidRPr="00310F7E" w:rsidRDefault="005C07AE" w:rsidP="00310F7E">
      <w:pPr>
        <w:shd w:val="clear" w:color="auto" w:fill="FFFFFF"/>
        <w:spacing w:after="0" w:line="240" w:lineRule="auto"/>
        <w:ind w:firstLine="567"/>
        <w:jc w:val="both"/>
        <w:rPr>
          <w:rFonts w:ascii="Times New Roman" w:hAnsi="Times New Roman" w:cs="Times New Roman"/>
          <w:color w:val="000000" w:themeColor="text1"/>
          <w:sz w:val="28"/>
          <w:szCs w:val="28"/>
        </w:rPr>
      </w:pPr>
      <w:r w:rsidRPr="00310F7E">
        <w:rPr>
          <w:rFonts w:ascii="Times New Roman" w:hAnsi="Times New Roman" w:cs="Times New Roman"/>
          <w:color w:val="000000" w:themeColor="text1"/>
          <w:sz w:val="28"/>
          <w:szCs w:val="28"/>
        </w:rPr>
        <w:t>Крім того, умовою застосування норми щодо застосування ЄСВ з доходу не менше мінімальної зарплати є перебування найманого працівника в трудових відносинах </w:t>
      </w:r>
      <w:r w:rsidRPr="00310F7E">
        <w:rPr>
          <w:rFonts w:ascii="Times New Roman" w:hAnsi="Times New Roman" w:cs="Times New Roman"/>
          <w:bCs/>
          <w:color w:val="000000" w:themeColor="text1"/>
          <w:sz w:val="28"/>
          <w:szCs w:val="28"/>
        </w:rPr>
        <w:t>повний календарний місяць</w:t>
      </w:r>
      <w:r w:rsidRPr="00310F7E">
        <w:rPr>
          <w:rFonts w:ascii="Times New Roman" w:hAnsi="Times New Roman" w:cs="Times New Roman"/>
          <w:color w:val="000000" w:themeColor="text1"/>
          <w:sz w:val="28"/>
          <w:szCs w:val="28"/>
        </w:rPr>
        <w:t>. Ось тут на практиці й трапляються різні випадки, коли працівник не працює повний місяць. А саме, це може бути звільнення чи прийняття працівника на роботу не з початку місяця, або перебування працівника у відпустці за власний рахунок, або декретна відпустка, або простій тощо. Усі такі випадки потрібно розглядати окремо, оскільки для кожного з них нарахування ЄСВ відбувається зі своїми особливостями.</w:t>
      </w:r>
    </w:p>
    <w:p w:rsidR="005C07AE" w:rsidRPr="00310F7E" w:rsidRDefault="005C07AE" w:rsidP="005C07AE">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310F7E">
        <w:rPr>
          <w:rFonts w:ascii="Times New Roman" w:hAnsi="Times New Roman" w:cs="Times New Roman"/>
          <w:color w:val="000000" w:themeColor="text1"/>
          <w:sz w:val="28"/>
          <w:szCs w:val="28"/>
        </w:rPr>
        <w:t>Отже, розглянемо різні випадки нарахування доходів працівникам у розмірі менше мінімального й необхідність нарахування або ненарахування ЄСВ у цих випадках з мінімальної зарплати. Для зручності ситуації наведено в таблиці.</w:t>
      </w:r>
    </w:p>
    <w:p w:rsidR="005C07AE" w:rsidRPr="00310F7E" w:rsidRDefault="005C07AE" w:rsidP="005C07AE">
      <w:pPr>
        <w:shd w:val="clear" w:color="auto" w:fill="FFFFFF"/>
        <w:spacing w:after="0" w:line="240" w:lineRule="auto"/>
        <w:ind w:firstLine="567"/>
        <w:jc w:val="both"/>
        <w:rPr>
          <w:rFonts w:ascii="Times New Roman" w:hAnsi="Times New Roman" w:cs="Times New Roman"/>
          <w:color w:val="000000" w:themeColor="text1"/>
          <w:sz w:val="28"/>
          <w:szCs w:val="28"/>
          <w:lang w:val="uk-UA"/>
        </w:rPr>
      </w:pPr>
    </w:p>
    <w:tbl>
      <w:tblPr>
        <w:tblW w:w="488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46"/>
        <w:gridCol w:w="3975"/>
        <w:gridCol w:w="3186"/>
      </w:tblGrid>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b/>
                <w:bCs/>
                <w:color w:val="000000" w:themeColor="text1"/>
              </w:rPr>
              <w:t>Ситуація</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b/>
                <w:bCs/>
                <w:color w:val="000000" w:themeColor="text1"/>
              </w:rPr>
              <w:t>ЄСВ нараховується на розмір мінзарплати</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b/>
                <w:bCs/>
                <w:color w:val="000000" w:themeColor="text1"/>
              </w:rPr>
              <w:t>ЄСВ нараховується на фактичний розмір доходу</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Винагорода за договорами ЦПХ</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винагорода за договором ЦПХ нараховується працівнику</w:t>
            </w:r>
            <w:r w:rsidRPr="00310F7E">
              <w:rPr>
                <w:rFonts w:ascii="Times New Roman" w:hAnsi="Times New Roman"/>
                <w:b/>
                <w:bCs/>
                <w:color w:val="000000" w:themeColor="text1"/>
              </w:rPr>
              <w:t> за основним місцем роботи</w:t>
            </w:r>
            <w:r w:rsidRPr="00310F7E">
              <w:rPr>
                <w:rFonts w:ascii="Times New Roman" w:hAnsi="Times New Roman"/>
                <w:color w:val="000000" w:themeColor="text1"/>
              </w:rPr>
              <w:t>,</w:t>
            </w:r>
            <w:r w:rsidRPr="00310F7E">
              <w:rPr>
                <w:rFonts w:ascii="Times New Roman" w:hAnsi="Times New Roman"/>
                <w:b/>
                <w:bCs/>
                <w:color w:val="000000" w:themeColor="text1"/>
              </w:rPr>
              <w:t> </w:t>
            </w:r>
            <w:r w:rsidRPr="00310F7E">
              <w:rPr>
                <w:rFonts w:ascii="Times New Roman" w:hAnsi="Times New Roman"/>
                <w:color w:val="000000" w:themeColor="text1"/>
              </w:rPr>
              <w:t xml:space="preserve">то розмір такої винагороди потрібно додати до інших доходів працівника, отриманих у цьому місяці від роботодавця (зарплати, відпускних, лікарняних тощо). І в разі, якщо загальна місячна сума отриманого доходу буде меншою за мінімальну </w:t>
            </w:r>
            <w:r w:rsidRPr="00310F7E">
              <w:rPr>
                <w:rFonts w:ascii="Times New Roman" w:hAnsi="Times New Roman"/>
                <w:color w:val="000000" w:themeColor="text1"/>
              </w:rPr>
              <w:lastRenderedPageBreak/>
              <w:t>заробітну плату, потрібно нараховувати ЄСВ на </w:t>
            </w:r>
            <w:r w:rsidRPr="00310F7E">
              <w:rPr>
                <w:rFonts w:ascii="Times New Roman" w:hAnsi="Times New Roman"/>
                <w:b/>
                <w:bCs/>
                <w:color w:val="000000" w:themeColor="text1"/>
              </w:rPr>
              <w:t>мінімальний розмір зарплати</w:t>
            </w:r>
            <w:r w:rsidRPr="00310F7E">
              <w:rPr>
                <w:rFonts w:ascii="Times New Roman" w:hAnsi="Times New Roman"/>
                <w:color w:val="000000" w:themeColor="text1"/>
              </w:rPr>
              <w:t>, установлений законом на місяць, за який отримано дохід</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lastRenderedPageBreak/>
              <w:t>Якщо винагорода за договором ЦПХ нараховується фізособі</w:t>
            </w:r>
            <w:r w:rsidRPr="00310F7E">
              <w:rPr>
                <w:rFonts w:ascii="Times New Roman" w:hAnsi="Times New Roman"/>
                <w:b/>
                <w:bCs/>
                <w:color w:val="000000" w:themeColor="text1"/>
              </w:rPr>
              <w:t> не за основним місцем роботи</w:t>
            </w:r>
            <w:r w:rsidRPr="00310F7E">
              <w:rPr>
                <w:rFonts w:ascii="Times New Roman" w:hAnsi="Times New Roman"/>
                <w:color w:val="000000" w:themeColor="text1"/>
              </w:rPr>
              <w:t>,</w:t>
            </w:r>
            <w:r w:rsidRPr="00310F7E">
              <w:rPr>
                <w:rFonts w:ascii="Times New Roman" w:hAnsi="Times New Roman"/>
                <w:b/>
                <w:bCs/>
                <w:color w:val="000000" w:themeColor="text1"/>
              </w:rPr>
              <w:t> </w:t>
            </w:r>
            <w:r w:rsidRPr="00310F7E">
              <w:rPr>
                <w:rFonts w:ascii="Times New Roman" w:hAnsi="Times New Roman"/>
                <w:color w:val="000000" w:themeColor="text1"/>
              </w:rPr>
              <w:t>то ЄСВ нараховується на</w:t>
            </w:r>
            <w:r w:rsidRPr="00310F7E">
              <w:rPr>
                <w:rFonts w:ascii="Times New Roman" w:hAnsi="Times New Roman"/>
                <w:b/>
                <w:bCs/>
                <w:color w:val="000000" w:themeColor="text1"/>
              </w:rPr>
              <w:t> фактичний розмір винагороди</w:t>
            </w:r>
            <w:r w:rsidRPr="00310F7E">
              <w:rPr>
                <w:rFonts w:ascii="Times New Roman" w:hAnsi="Times New Roman"/>
                <w:color w:val="000000" w:themeColor="text1"/>
              </w:rPr>
              <w:t> за договором ЦПХ</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lastRenderedPageBreak/>
              <w:t>Працівник – сумісник</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Заробітна плата </w:t>
            </w:r>
            <w:r w:rsidRPr="00310F7E">
              <w:rPr>
                <w:rFonts w:ascii="Times New Roman" w:hAnsi="Times New Roman"/>
                <w:b/>
                <w:bCs/>
                <w:color w:val="000000" w:themeColor="text1"/>
              </w:rPr>
              <w:t>внутрішнього сумісника</w:t>
            </w:r>
            <w:r w:rsidRPr="00310F7E">
              <w:rPr>
                <w:rFonts w:ascii="Times New Roman" w:hAnsi="Times New Roman"/>
                <w:color w:val="000000" w:themeColor="text1"/>
              </w:rPr>
              <w:t> для реалізації норми нарахування ЄСВ не менше мінімального розміру зарплати враховуватиметься сумарно із заробітною платою, отриманою за основним місцем роботи</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lang w:val="uk-UA"/>
              </w:rPr>
            </w:pPr>
            <w:r w:rsidRPr="00310F7E">
              <w:rPr>
                <w:rFonts w:ascii="Times New Roman" w:hAnsi="Times New Roman"/>
                <w:color w:val="000000" w:themeColor="text1"/>
              </w:rPr>
              <w:t>ЄСВ на доходи </w:t>
            </w:r>
            <w:r w:rsidRPr="00310F7E">
              <w:rPr>
                <w:rFonts w:ascii="Times New Roman" w:hAnsi="Times New Roman"/>
                <w:b/>
                <w:bCs/>
                <w:color w:val="000000" w:themeColor="text1"/>
              </w:rPr>
              <w:t>зовнішнього сумісника</w:t>
            </w:r>
            <w:r w:rsidRPr="00310F7E">
              <w:rPr>
                <w:rFonts w:ascii="Times New Roman" w:hAnsi="Times New Roman"/>
                <w:color w:val="000000" w:themeColor="text1"/>
              </w:rPr>
              <w:t> (працівника, який працює не за основним місцем роботи) нараховується на визначену базу нарахування незалежно від її розміру, тобто на фактичний розмір доходу</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Звільнення або прийняття працівника на основне місце роботи протягом місяця</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ЄСВ нараховується на </w:t>
            </w:r>
            <w:r w:rsidRPr="00310F7E">
              <w:rPr>
                <w:rFonts w:ascii="Times New Roman" w:hAnsi="Times New Roman"/>
                <w:b/>
                <w:bCs/>
                <w:color w:val="000000" w:themeColor="text1"/>
              </w:rPr>
              <w:t>фактично</w:t>
            </w:r>
            <w:r w:rsidRPr="00310F7E">
              <w:rPr>
                <w:rFonts w:ascii="Times New Roman" w:hAnsi="Times New Roman"/>
                <w:color w:val="000000" w:themeColor="text1"/>
              </w:rPr>
              <w:t> нараховану в поточному місяці заробітну плату незалежно від її розміру</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Простій, прогул</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сума нарахованого доходу менша мінзарплати, то ЄСВ нараховується </w:t>
            </w:r>
            <w:r w:rsidRPr="00310F7E">
              <w:rPr>
                <w:rFonts w:ascii="Times New Roman" w:hAnsi="Times New Roman"/>
                <w:b/>
                <w:bCs/>
                <w:color w:val="000000" w:themeColor="text1"/>
              </w:rPr>
              <w:t>на розмір мінімальної зарплати</w:t>
            </w:r>
            <w:r w:rsidRPr="00310F7E">
              <w:rPr>
                <w:rFonts w:ascii="Times New Roman" w:hAnsi="Times New Roman"/>
                <w:color w:val="000000" w:themeColor="text1"/>
              </w:rPr>
              <w:t>, установлений законом на місяць, за який отримано дохід</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в працівника в поточному місяці немає заробітку, ЄСВ не нараховується, оскільки немає бази нарахування ЄСВ</w:t>
            </w:r>
          </w:p>
        </w:tc>
      </w:tr>
      <w:tr w:rsidR="005C07AE" w:rsidRPr="00310F7E" w:rsidTr="000C1EDC">
        <w:trPr>
          <w:trHeight w:val="3155"/>
        </w:trPr>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Відпустка без збереження зарплати</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база нарахування ЄСВ не перевищує розміру мінімальної зарплати в працівника, який перебуває </w:t>
            </w:r>
            <w:r w:rsidRPr="00310F7E">
              <w:rPr>
                <w:rFonts w:ascii="Times New Roman" w:hAnsi="Times New Roman"/>
                <w:b/>
                <w:bCs/>
                <w:color w:val="000000" w:themeColor="text1"/>
              </w:rPr>
              <w:t>частину календарного місяця</w:t>
            </w:r>
            <w:r w:rsidRPr="00310F7E">
              <w:rPr>
                <w:rFonts w:ascii="Times New Roman" w:hAnsi="Times New Roman"/>
                <w:color w:val="000000" w:themeColor="text1"/>
              </w:rPr>
              <w:t> у відпустці без збереження заробітної плати, то сума ЄСВ розраховується як добуток розміру мінімальної заробітної плати, установленої законом на місяць, за який нараховується заробітна плата (дохід), і ставки ЄСВ</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працівник перебуває у відпустці без збереження заробітної плати повний календарний місяць, ЄСВ не нараховується, оскільки немає бази нарахування ЄСВ</w:t>
            </w:r>
          </w:p>
        </w:tc>
      </w:tr>
      <w:tr w:rsidR="005C07AE" w:rsidRPr="00310F7E" w:rsidTr="000C1EDC">
        <w:trPr>
          <w:trHeight w:val="351"/>
        </w:trPr>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Лікарняний</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Для працівника (за основним місцем роботи), який відпрацював </w:t>
            </w:r>
            <w:r w:rsidRPr="00310F7E">
              <w:rPr>
                <w:rFonts w:ascii="Times New Roman" w:hAnsi="Times New Roman"/>
                <w:b/>
                <w:bCs/>
                <w:color w:val="000000" w:themeColor="text1"/>
              </w:rPr>
              <w:t>частину місяця</w:t>
            </w:r>
            <w:r w:rsidRPr="00310F7E">
              <w:rPr>
                <w:rFonts w:ascii="Times New Roman" w:hAnsi="Times New Roman"/>
                <w:color w:val="000000" w:themeColor="text1"/>
              </w:rPr>
              <w:t xml:space="preserve">, а іншу частину перебував на лікарняному, де загальна сума нарахованого доходу (сума </w:t>
            </w:r>
            <w:r w:rsidRPr="00310F7E">
              <w:rPr>
                <w:rFonts w:ascii="Times New Roman" w:hAnsi="Times New Roman"/>
                <w:color w:val="000000" w:themeColor="text1"/>
              </w:rPr>
              <w:lastRenderedPageBreak/>
              <w:t>заробітної плати за відпрацьований час і лікарняного) не перевищує розміру мінімальної зарплати, установленої законом на місяць, за який нараховується зарплата, виникає необхідність донарахування до мінімальної заробітної плати.</w:t>
            </w:r>
          </w:p>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Для працівника (за основним місцем роботи), який перебував на лікарняному </w:t>
            </w:r>
            <w:r w:rsidRPr="00310F7E">
              <w:rPr>
                <w:rFonts w:ascii="Times New Roman" w:hAnsi="Times New Roman"/>
                <w:b/>
                <w:bCs/>
                <w:color w:val="000000" w:themeColor="text1"/>
              </w:rPr>
              <w:t>повний місяць</w:t>
            </w:r>
            <w:r w:rsidRPr="00310F7E">
              <w:rPr>
                <w:rFonts w:ascii="Times New Roman" w:hAnsi="Times New Roman"/>
                <w:color w:val="000000" w:themeColor="text1"/>
              </w:rPr>
              <w:t> (з першого календарного дня місяця до останнього), у якому сума нарахованого лікарняного менша за мінімальний розмір заробітної плати, установленої законом на місяць, за який нараховується лікарняний, ЄСВ розраховується як добуток розміру мінімальної заробітної плати, установленої законом на місяць, за який нараховується лікарняний, і ставки ЄСВ</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lastRenderedPageBreak/>
              <w:t xml:space="preserve">Для працівника (за основним місцем роботи), у якого початок і закінчення лікарняного припадають на різні місяці, ЄСВ в місяці </w:t>
            </w:r>
            <w:r w:rsidRPr="00310F7E">
              <w:rPr>
                <w:rFonts w:ascii="Times New Roman" w:hAnsi="Times New Roman"/>
                <w:color w:val="000000" w:themeColor="text1"/>
              </w:rPr>
              <w:lastRenderedPageBreak/>
              <w:t>початку лікарняного </w:t>
            </w:r>
            <w:r w:rsidRPr="00310F7E">
              <w:rPr>
                <w:rFonts w:ascii="Times New Roman" w:hAnsi="Times New Roman"/>
                <w:b/>
                <w:bCs/>
                <w:color w:val="000000" w:themeColor="text1"/>
              </w:rPr>
              <w:t>нараховується за фактично відпрацьований час</w:t>
            </w:r>
            <w:r w:rsidRPr="00310F7E">
              <w:rPr>
                <w:rFonts w:ascii="Times New Roman" w:hAnsi="Times New Roman"/>
                <w:color w:val="000000" w:themeColor="text1"/>
              </w:rPr>
              <w:t>, оскільки загальна сума доходу ще не відома (суму лікарняних буде визначено після надання листка непрацездатності). Якщо після розподілу лікарняного загальний дохід за місяць становить менше мінімального розміру, виникає потреба за минулий місяць (місяці) донарахувати ЄСВ виходячи з мінімальної заробітної плати</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lastRenderedPageBreak/>
              <w:t>Неповний робочий час (день, тиждень) за основним місцем роботи</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 xml:space="preserve">Роботодавець розраховує суму ЄСВ як добуток розміру мінімальної заробітної плати, установленої законом на місяць, за який нараховується заробітна плата (дохід), і ставки ЄСВ, незалежно від того, що працівник працював неповний робочий день </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Нараховано дохід після звільнення за відпрацьований час</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 xml:space="preserve">У такому разі підприємство також має нарахувати ЄСВ на розмір мінімальної заробітної плати </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Працівник – інвалід</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працівник-інвалід працює у фізособи-підприємця, то ЄСВ нараховується на розмір мінімальної зарплати</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 xml:space="preserve">Якщо розмір заробітної плати працівника-інваліда, який працює на підприємстві, в установі або організації, де застосовуються ставки 8,41, 5,3 та 5,5 %, не перевищує розміру мінімальної заробітної плати, то нарахування ЄСВ здійснюється роботодавцем на розмір фактично нарахованої заробітної </w:t>
            </w:r>
            <w:r w:rsidRPr="00310F7E">
              <w:rPr>
                <w:rFonts w:ascii="Times New Roman" w:hAnsi="Times New Roman"/>
                <w:color w:val="000000" w:themeColor="text1"/>
              </w:rPr>
              <w:lastRenderedPageBreak/>
              <w:t xml:space="preserve">плати такому працівнику </w:t>
            </w:r>
          </w:p>
        </w:tc>
      </w:tr>
      <w:tr w:rsidR="005C07AE" w:rsidRPr="00310F7E" w:rsidTr="000C1EDC">
        <w:trPr>
          <w:trHeight w:val="2763"/>
        </w:trPr>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lastRenderedPageBreak/>
              <w:t>Нараховується ЄСВ засновнику, який керує підприємством, діяльність якого тимчасово призупинена</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Якщо працівник, який одночасно є власником, виконував певну роботу на умовах трудового договору, укладеного відповідно до вимог </w:t>
            </w:r>
            <w:hyperlink r:id="rId14" w:history="1">
              <w:r w:rsidRPr="00310F7E">
                <w:rPr>
                  <w:rFonts w:ascii="Times New Roman" w:hAnsi="Times New Roman"/>
                  <w:color w:val="000000" w:themeColor="text1"/>
                </w:rPr>
                <w:t>ст. ст. 21</w:t>
              </w:r>
            </w:hyperlink>
            <w:r w:rsidRPr="00310F7E">
              <w:rPr>
                <w:rFonts w:ascii="Times New Roman" w:hAnsi="Times New Roman"/>
                <w:color w:val="000000" w:themeColor="text1"/>
              </w:rPr>
              <w:t>, </w:t>
            </w:r>
            <w:hyperlink r:id="rId15" w:history="1">
              <w:r w:rsidRPr="00310F7E">
                <w:rPr>
                  <w:rFonts w:ascii="Times New Roman" w:hAnsi="Times New Roman"/>
                  <w:color w:val="000000" w:themeColor="text1"/>
                </w:rPr>
                <w:t>24 КЗпП</w:t>
              </w:r>
            </w:hyperlink>
            <w:r w:rsidRPr="00310F7E">
              <w:rPr>
                <w:rFonts w:ascii="Times New Roman" w:hAnsi="Times New Roman"/>
                <w:color w:val="000000" w:themeColor="text1"/>
              </w:rPr>
              <w:t>, то йому має бути виплачено заробітну плату (згідно з трудовим договором (контрактом)), розмір якої не може бути меншим за мінімальний, установлений законодавством</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 xml:space="preserve">Якщо установчими документами передбачено, що на період тимчасового припинення діяльності підприємства функцію керівника виконує його засновник, однак при цьому не отримує за це винагороди (доходу), то ЄСВ не нараховується </w:t>
            </w:r>
          </w:p>
        </w:tc>
      </w:tr>
      <w:tr w:rsidR="005C07AE" w:rsidRPr="00310F7E" w:rsidTr="000C1EDC">
        <w:tc>
          <w:tcPr>
            <w:tcW w:w="1273"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Сума допомоги у зв'язку з вагітністю та пологами основному працівнику</w:t>
            </w:r>
          </w:p>
        </w:tc>
        <w:tc>
          <w:tcPr>
            <w:tcW w:w="2069"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 xml:space="preserve">Якщо після розподілу за місяцями суми допомоги у зв'язку з вагітністю та пологами така сума за повний місяць становить менше мінімального розміру заробітної плати, ЄСВ розраховується як добуток розміру мінімальної заробітної плати, установленої законом на місяць, за який нараховується зазначена сума, і ставки ЄСВ в розмірі 22 % </w:t>
            </w:r>
          </w:p>
        </w:tc>
        <w:tc>
          <w:tcPr>
            <w:tcW w:w="1658" w:type="pct"/>
            <w:tcBorders>
              <w:top w:val="single" w:sz="12" w:space="0" w:color="CDC7C0"/>
              <w:left w:val="single" w:sz="12" w:space="0" w:color="CDC7C0"/>
              <w:bottom w:val="single" w:sz="12" w:space="0" w:color="CDC7C0"/>
              <w:right w:val="single" w:sz="12" w:space="0" w:color="CDC7C0"/>
            </w:tcBorders>
            <w:tcMar>
              <w:top w:w="150" w:type="dxa"/>
              <w:left w:w="240" w:type="dxa"/>
              <w:bottom w:w="150" w:type="dxa"/>
              <w:right w:w="240" w:type="dxa"/>
            </w:tcMar>
          </w:tcPr>
          <w:p w:rsidR="005C07AE" w:rsidRPr="00310F7E" w:rsidRDefault="005C07AE" w:rsidP="000C1EDC">
            <w:pPr>
              <w:spacing w:after="300" w:line="240" w:lineRule="auto"/>
              <w:rPr>
                <w:rFonts w:ascii="Times New Roman" w:hAnsi="Times New Roman"/>
                <w:color w:val="000000" w:themeColor="text1"/>
              </w:rPr>
            </w:pPr>
            <w:r w:rsidRPr="00310F7E">
              <w:rPr>
                <w:rFonts w:ascii="Times New Roman" w:hAnsi="Times New Roman"/>
                <w:color w:val="000000" w:themeColor="text1"/>
              </w:rPr>
              <w:t>-</w:t>
            </w:r>
          </w:p>
        </w:tc>
      </w:tr>
    </w:tbl>
    <w:p w:rsidR="005C07AE" w:rsidRPr="00310F7E" w:rsidRDefault="005C07AE" w:rsidP="005C07AE">
      <w:pPr>
        <w:jc w:val="center"/>
        <w:rPr>
          <w:rFonts w:ascii="Times New Roman" w:hAnsi="Times New Roman" w:cs="Times New Roman"/>
          <w:b/>
          <w:i/>
          <w:color w:val="000000" w:themeColor="text1"/>
          <w:sz w:val="24"/>
          <w:szCs w:val="24"/>
          <w:lang w:val="uk-UA"/>
        </w:rPr>
      </w:pPr>
    </w:p>
    <w:p w:rsidR="005C07AE" w:rsidRPr="00310F7E" w:rsidRDefault="005C07AE" w:rsidP="005C07AE">
      <w:pPr>
        <w:jc w:val="center"/>
        <w:rPr>
          <w:rFonts w:ascii="Times New Roman" w:hAnsi="Times New Roman" w:cs="Times New Roman"/>
          <w:b/>
          <w:i/>
          <w:color w:val="000000" w:themeColor="text1"/>
          <w:sz w:val="28"/>
          <w:szCs w:val="28"/>
          <w:lang w:val="uk-UA"/>
        </w:rPr>
      </w:pPr>
      <w:r w:rsidRPr="00310F7E">
        <w:rPr>
          <w:rFonts w:ascii="Times New Roman" w:hAnsi="Times New Roman" w:cs="Times New Roman"/>
          <w:b/>
          <w:i/>
          <w:color w:val="000000" w:themeColor="text1"/>
          <w:sz w:val="28"/>
          <w:szCs w:val="28"/>
          <w:lang w:val="uk-UA"/>
        </w:rPr>
        <w:t>Земельний податок</w:t>
      </w:r>
    </w:p>
    <w:p w:rsidR="005C07AE" w:rsidRPr="00310F7E" w:rsidRDefault="005C07AE" w:rsidP="005C07AE">
      <w:pPr>
        <w:pStyle w:val="a5"/>
        <w:spacing w:before="0" w:beforeAutospacing="0" w:after="0" w:afterAutospacing="0"/>
        <w:ind w:firstLine="567"/>
        <w:jc w:val="both"/>
        <w:rPr>
          <w:color w:val="000000" w:themeColor="text1"/>
          <w:sz w:val="28"/>
          <w:szCs w:val="28"/>
          <w:lang w:val="uk-UA"/>
        </w:rPr>
      </w:pPr>
      <w:r w:rsidRPr="00310F7E">
        <w:rPr>
          <w:color w:val="000000" w:themeColor="text1"/>
          <w:sz w:val="28"/>
          <w:szCs w:val="28"/>
          <w:lang w:val="uk-UA"/>
        </w:rPr>
        <w:t xml:space="preserve">Економіка країни має функціонувати, адже від цього залежить багато факторів, в тому числі міцний тил, забезпечення громадян, отримання працівниками заробітної плати, збереження та збільшення робочих місць та і взагалі - життєдіяльність країни. </w:t>
      </w:r>
      <w:r w:rsidRPr="00310F7E">
        <w:rPr>
          <w:color w:val="000000" w:themeColor="text1"/>
          <w:sz w:val="28"/>
          <w:szCs w:val="28"/>
        </w:rPr>
        <w:t>Можна з впевненістю говорити про те, що ніхто не має  законного права не платити податки та загальнообов’язкові платежі . Є випадки, коли їх оплату держава дозволяє відстрочити, списує та /або скасовує штрафні санкції за їх несплату або несвоєчасну сплату тощо.</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Державна податкова служба України повідомляє, що у зв’язку із прийняттям Верховною Радою України 15 березня 2022 року Закону України № 2120-ІХ «Про внесення змін до Податкового кодексу України та інших законодавчих актів України щодо дії норм на період дії воєнного стану» змінено встановлений Податковим кодексом України (далі – Кодекс) порядок справляння плати за землю (далі – Зміни). </w:t>
      </w:r>
    </w:p>
    <w:p w:rsidR="005C07AE" w:rsidRPr="00310F7E" w:rsidRDefault="005C07AE" w:rsidP="005C07AE">
      <w:pPr>
        <w:pStyle w:val="rvps2"/>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Зміни, що прийняті у зв'язку з військовою агресією Російської Федерації проти України, передбачають, що тимчасово, на період з 1 березня 2022 року по 31 грудня року, наступного за роком, у якому припинено або скасовано воєнний, надзвичайний стан, не нараховується та не сплачується плата за землю (земельний податок та орендна плата за земельні ділянки державної та </w:t>
      </w:r>
      <w:r w:rsidRPr="00310F7E">
        <w:rPr>
          <w:color w:val="000000" w:themeColor="text1"/>
          <w:sz w:val="28"/>
          <w:szCs w:val="28"/>
        </w:rPr>
        <w:lastRenderedPageBreak/>
        <w:t xml:space="preserve">комунальної власності) 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 Російської Федерації, та перебувають у власності або користуванні, у тому числі на умовах оренди, фізичних або юридичних осіб, а також за земельні ділянки (земельні частки (паї), визначені обласними військовими адміністраціями як засмічені вибухонебезпечними предметами та/або на яких наявні фортифікаційні споруди (підпункт 69.14 пункту 69 підрозділу 10 розділу ХХ «Перехідні положення» Кодексу) (далі – Ділянки). </w:t>
      </w:r>
    </w:p>
    <w:p w:rsidR="005C07AE" w:rsidRPr="00310F7E" w:rsidRDefault="005C07AE" w:rsidP="005C07AE">
      <w:pPr>
        <w:pStyle w:val="rvps2"/>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 </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Зважаючи на те, що граничний термін подання податкової декларації з плати за землю на 2022 рік припав на 21 лютого 2022 року, то платникам плати за землю за відповідні Ділянки у межах визначених Територій слід, за можливості, подати уточнюючі податкові декларації (далі – Декларації) після офіційного оприлюднення такого переліку. </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У таких Деклараціях необхідно, починаючи з березня 2022 року, податкові зобов'язання, які були задекларовані до сплати у раніше поданих податкових деклараціях, змінити та зазначити у розмірі «0», крім податкових зобов’язань за січень та лютий 2022 року. </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Для можливості подальшої ідентифікації підстав зменшення податкових зобов'язань у податковій декларації у графі «Код пільги» в якості коду пільги зазначити номер Закону України, а саме 2120. </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Приклади заповнення уточнюючих податкових декларацій з земельного податку та з орендної плати за 2022 рік у зв’язку із прийняттям Верховою Радою України 15.03.2022 Закону України № 2120-ІХ «Про внесення змін до Податкового кодексу України та інших законодавчих актів України щодо дії норм на період дії воєнного стану» розміщені на вебпорталі ДПС за посиланням </w:t>
      </w:r>
      <w:hyperlink r:id="rId16" w:history="1">
        <w:r w:rsidRPr="00310F7E">
          <w:rPr>
            <w:rStyle w:val="a4"/>
            <w:color w:val="000000" w:themeColor="text1"/>
            <w:sz w:val="28"/>
            <w:szCs w:val="28"/>
          </w:rPr>
          <w:t>https://tax.gov.ua/zakonodavstvo/podatki-ta-zbori/zagalnoderjavni-podatki/plata-za-zemlyu--fizichni-oso/formi-zvitnosti/</w:t>
        </w:r>
      </w:hyperlink>
      <w:r w:rsidRPr="00310F7E">
        <w:rPr>
          <w:color w:val="000000" w:themeColor="text1"/>
          <w:sz w:val="28"/>
          <w:szCs w:val="28"/>
        </w:rPr>
        <w:t xml:space="preserve">. </w:t>
      </w:r>
    </w:p>
    <w:p w:rsidR="005C07AE" w:rsidRPr="00310F7E" w:rsidRDefault="005C07AE" w:rsidP="005C07AE">
      <w:pPr>
        <w:pStyle w:val="a5"/>
        <w:spacing w:before="0" w:beforeAutospacing="0" w:after="0" w:afterAutospacing="0"/>
        <w:ind w:firstLine="567"/>
        <w:jc w:val="both"/>
        <w:rPr>
          <w:color w:val="000000" w:themeColor="text1"/>
          <w:sz w:val="28"/>
          <w:szCs w:val="28"/>
        </w:rPr>
      </w:pPr>
      <w:r w:rsidRPr="00310F7E">
        <w:rPr>
          <w:color w:val="000000" w:themeColor="text1"/>
          <w:sz w:val="28"/>
          <w:szCs w:val="28"/>
        </w:rPr>
        <w:t xml:space="preserve">Нагадуємо, що пеня та штрафи не нараховуються з огляду на положення підпункту 69.1 пункту 69 підрозділу 10 розділу ХХ «Перехідні положення» Кодексу та зміни, внесені до пункту 129.9 статті 129 Кодексу, а саме згідно з новою редакцією підпункту 129.9.7, пеня не нараховується, а нарахована пеня підлягає анулюванню у випадку вчинення діяння (дії або бездіяльності) особою внаслідок введення воєнного, надзвичайного стану. </w:t>
      </w:r>
    </w:p>
    <w:p w:rsidR="005C07AE" w:rsidRPr="00310F7E" w:rsidRDefault="005C07AE" w:rsidP="00310F7E">
      <w:pPr>
        <w:pStyle w:val="a5"/>
        <w:spacing w:before="0" w:beforeAutospacing="0" w:after="0" w:afterAutospacing="0"/>
        <w:ind w:firstLine="567"/>
        <w:jc w:val="both"/>
        <w:rPr>
          <w:b/>
          <w:i/>
          <w:color w:val="000000" w:themeColor="text1"/>
          <w:sz w:val="28"/>
          <w:szCs w:val="28"/>
          <w:lang w:val="uk-UA"/>
        </w:rPr>
      </w:pPr>
      <w:r w:rsidRPr="00310F7E">
        <w:rPr>
          <w:color w:val="000000" w:themeColor="text1"/>
          <w:sz w:val="28"/>
          <w:szCs w:val="28"/>
        </w:rPr>
        <w:t xml:space="preserve">Разом з цим зазначаємо, що відповідно до пункту 102.9 статті 102 «Строки давності та їх застосування» Кодексу на період дії правового режиму воєнного, надзвичайного стану зупиняється перебіг строків, визначених Кодексом та іншим законодавством, контроль за дотриманням якого покладено на контролюючі органи. </w:t>
      </w:r>
    </w:p>
    <w:sectPr w:rsidR="005C07AE" w:rsidRPr="00310F7E" w:rsidSect="005042D2">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8C" w:rsidRDefault="00AA1E8C" w:rsidP="005C07AE">
      <w:pPr>
        <w:spacing w:after="0" w:line="240" w:lineRule="auto"/>
      </w:pPr>
      <w:r>
        <w:separator/>
      </w:r>
    </w:p>
  </w:endnote>
  <w:endnote w:type="continuationSeparator" w:id="1">
    <w:p w:rsidR="00AA1E8C" w:rsidRDefault="00AA1E8C" w:rsidP="005C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E" w:rsidRDefault="005C07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2282"/>
      <w:docPartObj>
        <w:docPartGallery w:val="Page Numbers (Bottom of Page)"/>
        <w:docPartUnique/>
      </w:docPartObj>
    </w:sdtPr>
    <w:sdtContent>
      <w:p w:rsidR="005C07AE" w:rsidRDefault="00A41500">
        <w:pPr>
          <w:pStyle w:val="a8"/>
          <w:jc w:val="center"/>
        </w:pPr>
        <w:fldSimple w:instr=" PAGE   \* MERGEFORMAT ">
          <w:r w:rsidR="00310F7E">
            <w:rPr>
              <w:noProof/>
            </w:rPr>
            <w:t>7</w:t>
          </w:r>
        </w:fldSimple>
      </w:p>
    </w:sdtContent>
  </w:sdt>
  <w:p w:rsidR="005C07AE" w:rsidRDefault="005C07A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E" w:rsidRDefault="005C07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8C" w:rsidRDefault="00AA1E8C" w:rsidP="005C07AE">
      <w:pPr>
        <w:spacing w:after="0" w:line="240" w:lineRule="auto"/>
      </w:pPr>
      <w:r>
        <w:separator/>
      </w:r>
    </w:p>
  </w:footnote>
  <w:footnote w:type="continuationSeparator" w:id="1">
    <w:p w:rsidR="00AA1E8C" w:rsidRDefault="00AA1E8C" w:rsidP="005C0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E" w:rsidRDefault="005C07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E" w:rsidRDefault="005C07A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AE" w:rsidRDefault="005C07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0244"/>
    <w:multiLevelType w:val="multilevel"/>
    <w:tmpl w:val="717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139DA"/>
    <w:multiLevelType w:val="multilevel"/>
    <w:tmpl w:val="2A7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70249D"/>
    <w:rsid w:val="0019200A"/>
    <w:rsid w:val="00310F7E"/>
    <w:rsid w:val="005025B6"/>
    <w:rsid w:val="005042D2"/>
    <w:rsid w:val="005C07AE"/>
    <w:rsid w:val="0070249D"/>
    <w:rsid w:val="007E7EA6"/>
    <w:rsid w:val="00917A15"/>
    <w:rsid w:val="00A41500"/>
    <w:rsid w:val="00AA1E8C"/>
    <w:rsid w:val="00E26F10"/>
    <w:rsid w:val="00F02B17"/>
    <w:rsid w:val="00F8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ing-accountant-subtitle">
    <w:name w:val="filing-accountant-subtitle"/>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text------">
    <w:name w:val="tabl-text------"/>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0249D"/>
    <w:rPr>
      <w:b/>
      <w:bCs/>
    </w:rPr>
  </w:style>
  <w:style w:type="paragraph" w:customStyle="1" w:styleId="tabl-text">
    <w:name w:val="tabl-text"/>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vin">
    <w:name w:val="tabl-vin"/>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249D"/>
    <w:rPr>
      <w:color w:val="0000FF"/>
      <w:u w:val="single"/>
    </w:rPr>
  </w:style>
  <w:style w:type="character" w:customStyle="1" w:styleId="red">
    <w:name w:val="red"/>
    <w:basedOn w:val="a0"/>
    <w:rsid w:val="0070249D"/>
  </w:style>
  <w:style w:type="paragraph" w:customStyle="1" w:styleId="filing-accountant-text">
    <w:name w:val="filing-accountant-text"/>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
    <w:name w:val="x---------"/>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vin">
    <w:name w:val="articlevin"/>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gular">
    <w:name w:val="text-regular"/>
    <w:basedOn w:val="a0"/>
    <w:rsid w:val="0070249D"/>
  </w:style>
  <w:style w:type="paragraph" w:customStyle="1" w:styleId="using-a-header">
    <w:name w:val="using-a-header"/>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
    <w:name w:val="sources"/>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22">
    <w:name w:val="char-style-override-22"/>
    <w:basedOn w:val="a0"/>
    <w:rsid w:val="0070249D"/>
  </w:style>
  <w:style w:type="paragraph" w:styleId="a5">
    <w:name w:val="Normal (Web)"/>
    <w:basedOn w:val="a"/>
    <w:unhideWhenUsed/>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a0"/>
    <w:rsid w:val="0070249D"/>
  </w:style>
  <w:style w:type="paragraph" w:customStyle="1" w:styleId="no-event-content">
    <w:name w:val="no-event-content"/>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70249D"/>
  </w:style>
  <w:style w:type="paragraph" w:styleId="z-">
    <w:name w:val="HTML Top of Form"/>
    <w:basedOn w:val="a"/>
    <w:next w:val="a"/>
    <w:link w:val="z-0"/>
    <w:hidden/>
    <w:uiPriority w:val="99"/>
    <w:semiHidden/>
    <w:unhideWhenUsed/>
    <w:rsid w:val="007024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0249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24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0249D"/>
    <w:rPr>
      <w:rFonts w:ascii="Arial" w:eastAsia="Times New Roman" w:hAnsi="Arial" w:cs="Arial"/>
      <w:vanish/>
      <w:sz w:val="16"/>
      <w:szCs w:val="16"/>
    </w:rPr>
  </w:style>
  <w:style w:type="character" w:customStyle="1" w:styleId="phone-num">
    <w:name w:val="phone-num"/>
    <w:basedOn w:val="a0"/>
    <w:rsid w:val="0070249D"/>
  </w:style>
  <w:style w:type="character" w:customStyle="1" w:styleId="white">
    <w:name w:val="white"/>
    <w:basedOn w:val="a0"/>
    <w:rsid w:val="0070249D"/>
  </w:style>
  <w:style w:type="paragraph" w:customStyle="1" w:styleId="footer-email">
    <w:name w:val="footer-email"/>
    <w:basedOn w:val="a"/>
    <w:rsid w:val="00702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C07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C07A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C07AE"/>
  </w:style>
  <w:style w:type="paragraph" w:styleId="a8">
    <w:name w:val="footer"/>
    <w:basedOn w:val="a"/>
    <w:link w:val="a9"/>
    <w:uiPriority w:val="99"/>
    <w:unhideWhenUsed/>
    <w:rsid w:val="005C07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7AE"/>
  </w:style>
</w:styles>
</file>

<file path=word/webSettings.xml><?xml version="1.0" encoding="utf-8"?>
<w:webSettings xmlns:r="http://schemas.openxmlformats.org/officeDocument/2006/relationships" xmlns:w="http://schemas.openxmlformats.org/wordprocessingml/2006/main">
  <w:divs>
    <w:div w:id="1528909417">
      <w:bodyDiv w:val="1"/>
      <w:marLeft w:val="0"/>
      <w:marRight w:val="0"/>
      <w:marTop w:val="0"/>
      <w:marBottom w:val="0"/>
      <w:divBdr>
        <w:top w:val="none" w:sz="0" w:space="0" w:color="auto"/>
        <w:left w:val="none" w:sz="0" w:space="0" w:color="auto"/>
        <w:bottom w:val="none" w:sz="0" w:space="0" w:color="auto"/>
        <w:right w:val="none" w:sz="0" w:space="0" w:color="auto"/>
      </w:divBdr>
      <w:divsChild>
        <w:div w:id="26495453">
          <w:marLeft w:val="0"/>
          <w:marRight w:val="0"/>
          <w:marTop w:val="0"/>
          <w:marBottom w:val="0"/>
          <w:divBdr>
            <w:top w:val="none" w:sz="0" w:space="0" w:color="auto"/>
            <w:left w:val="none" w:sz="0" w:space="0" w:color="auto"/>
            <w:bottom w:val="none" w:sz="0" w:space="0" w:color="auto"/>
            <w:right w:val="none" w:sz="0" w:space="0" w:color="auto"/>
          </w:divBdr>
          <w:divsChild>
            <w:div w:id="998459964">
              <w:marLeft w:val="0"/>
              <w:marRight w:val="0"/>
              <w:marTop w:val="0"/>
              <w:marBottom w:val="0"/>
              <w:divBdr>
                <w:top w:val="none" w:sz="0" w:space="0" w:color="auto"/>
                <w:left w:val="none" w:sz="0" w:space="0" w:color="auto"/>
                <w:bottom w:val="none" w:sz="0" w:space="0" w:color="auto"/>
                <w:right w:val="none" w:sz="0" w:space="0" w:color="auto"/>
              </w:divBdr>
              <w:divsChild>
                <w:div w:id="1862740676">
                  <w:marLeft w:val="0"/>
                  <w:marRight w:val="0"/>
                  <w:marTop w:val="0"/>
                  <w:marBottom w:val="0"/>
                  <w:divBdr>
                    <w:top w:val="none" w:sz="0" w:space="0" w:color="auto"/>
                    <w:left w:val="none" w:sz="0" w:space="0" w:color="auto"/>
                    <w:bottom w:val="none" w:sz="0" w:space="0" w:color="auto"/>
                    <w:right w:val="none" w:sz="0" w:space="0" w:color="auto"/>
                  </w:divBdr>
                  <w:divsChild>
                    <w:div w:id="1895651440">
                      <w:marLeft w:val="-309"/>
                      <w:marRight w:val="-309"/>
                      <w:marTop w:val="0"/>
                      <w:marBottom w:val="0"/>
                      <w:divBdr>
                        <w:top w:val="none" w:sz="0" w:space="0" w:color="auto"/>
                        <w:left w:val="none" w:sz="0" w:space="0" w:color="auto"/>
                        <w:bottom w:val="none" w:sz="0" w:space="0" w:color="auto"/>
                        <w:right w:val="none" w:sz="0" w:space="0" w:color="auto"/>
                      </w:divBdr>
                      <w:divsChild>
                        <w:div w:id="2116124103">
                          <w:marLeft w:val="0"/>
                          <w:marRight w:val="0"/>
                          <w:marTop w:val="0"/>
                          <w:marBottom w:val="0"/>
                          <w:divBdr>
                            <w:top w:val="none" w:sz="0" w:space="0" w:color="auto"/>
                            <w:left w:val="none" w:sz="0" w:space="0" w:color="auto"/>
                            <w:bottom w:val="none" w:sz="0" w:space="0" w:color="auto"/>
                            <w:right w:val="none" w:sz="0" w:space="0" w:color="auto"/>
                          </w:divBdr>
                          <w:divsChild>
                            <w:div w:id="1008479472">
                              <w:marLeft w:val="-309"/>
                              <w:marRight w:val="-309"/>
                              <w:marTop w:val="0"/>
                              <w:marBottom w:val="0"/>
                              <w:divBdr>
                                <w:top w:val="none" w:sz="0" w:space="0" w:color="auto"/>
                                <w:left w:val="none" w:sz="0" w:space="0" w:color="auto"/>
                                <w:bottom w:val="none" w:sz="0" w:space="0" w:color="auto"/>
                                <w:right w:val="none" w:sz="0" w:space="0" w:color="auto"/>
                              </w:divBdr>
                              <w:divsChild>
                                <w:div w:id="904948022">
                                  <w:marLeft w:val="0"/>
                                  <w:marRight w:val="0"/>
                                  <w:marTop w:val="0"/>
                                  <w:marBottom w:val="0"/>
                                  <w:divBdr>
                                    <w:top w:val="none" w:sz="0" w:space="0" w:color="auto"/>
                                    <w:left w:val="none" w:sz="0" w:space="0" w:color="auto"/>
                                    <w:bottom w:val="none" w:sz="0" w:space="0" w:color="auto"/>
                                    <w:right w:val="none" w:sz="0" w:space="0" w:color="auto"/>
                                  </w:divBdr>
                                  <w:divsChild>
                                    <w:div w:id="725034609">
                                      <w:marLeft w:val="0"/>
                                      <w:marRight w:val="0"/>
                                      <w:marTop w:val="0"/>
                                      <w:marBottom w:val="0"/>
                                      <w:divBdr>
                                        <w:top w:val="single" w:sz="8" w:space="0" w:color="80C8BE"/>
                                        <w:left w:val="single" w:sz="8" w:space="12" w:color="80C8BE"/>
                                        <w:bottom w:val="single" w:sz="8" w:space="0" w:color="80C8BE"/>
                                        <w:right w:val="single" w:sz="8" w:space="12" w:color="80C8BE"/>
                                      </w:divBdr>
                                      <w:divsChild>
                                        <w:div w:id="361521433">
                                          <w:marLeft w:val="0"/>
                                          <w:marRight w:val="0"/>
                                          <w:marTop w:val="0"/>
                                          <w:marBottom w:val="0"/>
                                          <w:divBdr>
                                            <w:top w:val="none" w:sz="0" w:space="0" w:color="auto"/>
                                            <w:left w:val="none" w:sz="0" w:space="0" w:color="auto"/>
                                            <w:bottom w:val="none" w:sz="0" w:space="0" w:color="auto"/>
                                            <w:right w:val="none" w:sz="0" w:space="0" w:color="auto"/>
                                          </w:divBdr>
                                          <w:divsChild>
                                            <w:div w:id="1282566599">
                                              <w:marLeft w:val="0"/>
                                              <w:marRight w:val="0"/>
                                              <w:marTop w:val="0"/>
                                              <w:marBottom w:val="0"/>
                                              <w:divBdr>
                                                <w:top w:val="none" w:sz="0" w:space="0" w:color="auto"/>
                                                <w:left w:val="none" w:sz="0" w:space="0" w:color="auto"/>
                                                <w:bottom w:val="none" w:sz="0" w:space="0" w:color="auto"/>
                                                <w:right w:val="none" w:sz="0" w:space="0" w:color="auto"/>
                                              </w:divBdr>
                                              <w:divsChild>
                                                <w:div w:id="638414217">
                                                  <w:marLeft w:val="0"/>
                                                  <w:marRight w:val="0"/>
                                                  <w:marTop w:val="0"/>
                                                  <w:marBottom w:val="0"/>
                                                  <w:divBdr>
                                                    <w:top w:val="none" w:sz="0" w:space="0" w:color="auto"/>
                                                    <w:left w:val="none" w:sz="0" w:space="0" w:color="auto"/>
                                                    <w:bottom w:val="none" w:sz="0" w:space="0" w:color="auto"/>
                                                    <w:right w:val="none" w:sz="0" w:space="0" w:color="auto"/>
                                                  </w:divBdr>
                                                  <w:divsChild>
                                                    <w:div w:id="1169981280">
                                                      <w:marLeft w:val="0"/>
                                                      <w:marRight w:val="0"/>
                                                      <w:marTop w:val="0"/>
                                                      <w:marBottom w:val="0"/>
                                                      <w:divBdr>
                                                        <w:top w:val="none" w:sz="0" w:space="0" w:color="auto"/>
                                                        <w:left w:val="none" w:sz="0" w:space="0" w:color="auto"/>
                                                        <w:bottom w:val="none" w:sz="0" w:space="0" w:color="auto"/>
                                                        <w:right w:val="none" w:sz="0" w:space="0" w:color="auto"/>
                                                      </w:divBdr>
                                                      <w:divsChild>
                                                        <w:div w:id="1755930946">
                                                          <w:marLeft w:val="0"/>
                                                          <w:marRight w:val="0"/>
                                                          <w:marTop w:val="0"/>
                                                          <w:marBottom w:val="168"/>
                                                          <w:divBdr>
                                                            <w:top w:val="none" w:sz="0" w:space="0" w:color="auto"/>
                                                            <w:left w:val="none" w:sz="0" w:space="0" w:color="auto"/>
                                                            <w:bottom w:val="none" w:sz="0" w:space="0" w:color="auto"/>
                                                            <w:right w:val="none" w:sz="0" w:space="0" w:color="auto"/>
                                                          </w:divBdr>
                                                          <w:divsChild>
                                                            <w:div w:id="804129338">
                                                              <w:marLeft w:val="0"/>
                                                              <w:marRight w:val="0"/>
                                                              <w:marTop w:val="0"/>
                                                              <w:marBottom w:val="0"/>
                                                              <w:divBdr>
                                                                <w:top w:val="none" w:sz="0" w:space="0" w:color="auto"/>
                                                                <w:left w:val="none" w:sz="0" w:space="0" w:color="auto"/>
                                                                <w:bottom w:val="none" w:sz="0" w:space="0" w:color="auto"/>
                                                                <w:right w:val="none" w:sz="0" w:space="0" w:color="auto"/>
                                                              </w:divBdr>
                                                              <w:divsChild>
                                                                <w:div w:id="1723480610">
                                                                  <w:blockQuote w:val="1"/>
                                                                  <w:marLeft w:val="0"/>
                                                                  <w:marRight w:val="0"/>
                                                                  <w:marTop w:val="0"/>
                                                                  <w:marBottom w:val="206"/>
                                                                  <w:divBdr>
                                                                    <w:top w:val="single" w:sz="8" w:space="15" w:color="6086C4"/>
                                                                    <w:left w:val="none" w:sz="0" w:space="0" w:color="auto"/>
                                                                    <w:bottom w:val="single" w:sz="8" w:space="15" w:color="6086C4"/>
                                                                    <w:right w:val="none" w:sz="0" w:space="0" w:color="auto"/>
                                                                  </w:divBdr>
                                                                </w:div>
                                                                <w:div w:id="530996094">
                                                                  <w:marLeft w:val="0"/>
                                                                  <w:marRight w:val="0"/>
                                                                  <w:marTop w:val="0"/>
                                                                  <w:marBottom w:val="0"/>
                                                                  <w:divBdr>
                                                                    <w:top w:val="none" w:sz="0" w:space="0" w:color="auto"/>
                                                                    <w:left w:val="none" w:sz="0" w:space="0" w:color="auto"/>
                                                                    <w:bottom w:val="none" w:sz="0" w:space="0" w:color="auto"/>
                                                                    <w:right w:val="none" w:sz="0" w:space="0" w:color="auto"/>
                                                                  </w:divBdr>
                                                                  <w:divsChild>
                                                                    <w:div w:id="1093358191">
                                                                      <w:marLeft w:val="0"/>
                                                                      <w:marRight w:val="0"/>
                                                                      <w:marTop w:val="0"/>
                                                                      <w:marBottom w:val="0"/>
                                                                      <w:divBdr>
                                                                        <w:top w:val="none" w:sz="0" w:space="0" w:color="auto"/>
                                                                        <w:left w:val="none" w:sz="0" w:space="0" w:color="auto"/>
                                                                        <w:bottom w:val="none" w:sz="0" w:space="0" w:color="auto"/>
                                                                        <w:right w:val="none" w:sz="0" w:space="0" w:color="auto"/>
                                                                      </w:divBdr>
                                                                    </w:div>
                                                                  </w:divsChild>
                                                                </w:div>
                                                                <w:div w:id="1502698682">
                                                                  <w:blockQuote w:val="1"/>
                                                                  <w:marLeft w:val="0"/>
                                                                  <w:marRight w:val="0"/>
                                                                  <w:marTop w:val="0"/>
                                                                  <w:marBottom w:val="206"/>
                                                                  <w:divBdr>
                                                                    <w:top w:val="single" w:sz="8" w:space="15" w:color="6086C4"/>
                                                                    <w:left w:val="none" w:sz="0" w:space="0" w:color="auto"/>
                                                                    <w:bottom w:val="single" w:sz="8" w:space="15" w:color="6086C4"/>
                                                                    <w:right w:val="none" w:sz="0" w:space="0" w:color="auto"/>
                                                                  </w:divBdr>
                                                                </w:div>
                                                                <w:div w:id="2055502074">
                                                                  <w:blockQuote w:val="1"/>
                                                                  <w:marLeft w:val="0"/>
                                                                  <w:marRight w:val="0"/>
                                                                  <w:marTop w:val="0"/>
                                                                  <w:marBottom w:val="206"/>
                                                                  <w:divBdr>
                                                                    <w:top w:val="single" w:sz="8" w:space="15" w:color="6086C4"/>
                                                                    <w:left w:val="none" w:sz="0" w:space="0" w:color="auto"/>
                                                                    <w:bottom w:val="single" w:sz="8" w:space="15" w:color="6086C4"/>
                                                                    <w:right w:val="none" w:sz="0" w:space="0" w:color="auto"/>
                                                                  </w:divBdr>
                                                                </w:div>
                                                              </w:divsChild>
                                                            </w:div>
                                                          </w:divsChild>
                                                        </w:div>
                                                      </w:divsChild>
                                                    </w:div>
                                                  </w:divsChild>
                                                </w:div>
                                              </w:divsChild>
                                            </w:div>
                                          </w:divsChild>
                                        </w:div>
                                      </w:divsChild>
                                    </w:div>
                                    <w:div w:id="1515338692">
                                      <w:marLeft w:val="0"/>
                                      <w:marRight w:val="0"/>
                                      <w:marTop w:val="240"/>
                                      <w:marBottom w:val="720"/>
                                      <w:divBdr>
                                        <w:top w:val="none" w:sz="0" w:space="0" w:color="auto"/>
                                        <w:left w:val="none" w:sz="0" w:space="0" w:color="auto"/>
                                        <w:bottom w:val="none" w:sz="0" w:space="0" w:color="auto"/>
                                        <w:right w:val="none" w:sz="0" w:space="0" w:color="auto"/>
                                      </w:divBdr>
                                    </w:div>
                                    <w:div w:id="1221745385">
                                      <w:marLeft w:val="-309"/>
                                      <w:marRight w:val="-309"/>
                                      <w:marTop w:val="0"/>
                                      <w:marBottom w:val="0"/>
                                      <w:divBdr>
                                        <w:top w:val="none" w:sz="0" w:space="0" w:color="auto"/>
                                        <w:left w:val="none" w:sz="0" w:space="0" w:color="auto"/>
                                        <w:bottom w:val="none" w:sz="0" w:space="0" w:color="auto"/>
                                        <w:right w:val="none" w:sz="0" w:space="0" w:color="auto"/>
                                      </w:divBdr>
                                      <w:divsChild>
                                        <w:div w:id="1901744493">
                                          <w:marLeft w:val="0"/>
                                          <w:marRight w:val="0"/>
                                          <w:marTop w:val="309"/>
                                          <w:marBottom w:val="0"/>
                                          <w:divBdr>
                                            <w:top w:val="none" w:sz="0" w:space="0" w:color="auto"/>
                                            <w:left w:val="none" w:sz="0" w:space="0" w:color="auto"/>
                                            <w:bottom w:val="none" w:sz="0" w:space="0" w:color="auto"/>
                                            <w:right w:val="none" w:sz="0" w:space="0" w:color="auto"/>
                                          </w:divBdr>
                                        </w:div>
                                        <w:div w:id="1564292642">
                                          <w:marLeft w:val="0"/>
                                          <w:marRight w:val="0"/>
                                          <w:marTop w:val="309"/>
                                          <w:marBottom w:val="0"/>
                                          <w:divBdr>
                                            <w:top w:val="none" w:sz="0" w:space="0" w:color="auto"/>
                                            <w:left w:val="none" w:sz="0" w:space="0" w:color="auto"/>
                                            <w:bottom w:val="none" w:sz="0" w:space="0" w:color="auto"/>
                                            <w:right w:val="none" w:sz="0" w:space="0" w:color="auto"/>
                                          </w:divBdr>
                                        </w:div>
                                      </w:divsChild>
                                    </w:div>
                                  </w:divsChild>
                                </w:div>
                                <w:div w:id="2112771513">
                                  <w:marLeft w:val="0"/>
                                  <w:marRight w:val="0"/>
                                  <w:marTop w:val="0"/>
                                  <w:marBottom w:val="0"/>
                                  <w:divBdr>
                                    <w:top w:val="none" w:sz="0" w:space="0" w:color="auto"/>
                                    <w:left w:val="none" w:sz="0" w:space="0" w:color="auto"/>
                                    <w:bottom w:val="none" w:sz="0" w:space="0" w:color="auto"/>
                                    <w:right w:val="none" w:sz="0" w:space="0" w:color="auto"/>
                                  </w:divBdr>
                                  <w:divsChild>
                                    <w:div w:id="169413269">
                                      <w:marLeft w:val="-309"/>
                                      <w:marRight w:val="-309"/>
                                      <w:marTop w:val="0"/>
                                      <w:marBottom w:val="0"/>
                                      <w:divBdr>
                                        <w:top w:val="none" w:sz="0" w:space="0" w:color="auto"/>
                                        <w:left w:val="none" w:sz="0" w:space="0" w:color="auto"/>
                                        <w:bottom w:val="none" w:sz="0" w:space="0" w:color="auto"/>
                                        <w:right w:val="none" w:sz="0" w:space="0" w:color="auto"/>
                                      </w:divBdr>
                                      <w:divsChild>
                                        <w:div w:id="587156570">
                                          <w:marLeft w:val="0"/>
                                          <w:marRight w:val="0"/>
                                          <w:marTop w:val="0"/>
                                          <w:marBottom w:val="411"/>
                                          <w:divBdr>
                                            <w:top w:val="none" w:sz="0" w:space="0" w:color="auto"/>
                                            <w:left w:val="none" w:sz="0" w:space="0" w:color="auto"/>
                                            <w:bottom w:val="none" w:sz="0" w:space="0" w:color="auto"/>
                                            <w:right w:val="none" w:sz="0" w:space="0" w:color="auto"/>
                                          </w:divBdr>
                                          <w:divsChild>
                                            <w:div w:id="127671772">
                                              <w:marLeft w:val="0"/>
                                              <w:marRight w:val="0"/>
                                              <w:marTop w:val="0"/>
                                              <w:marBottom w:val="0"/>
                                              <w:divBdr>
                                                <w:top w:val="single" w:sz="8" w:space="0" w:color="7FD9CE"/>
                                                <w:left w:val="single" w:sz="8" w:space="0" w:color="7FD9CE"/>
                                                <w:bottom w:val="single" w:sz="8" w:space="0" w:color="7FD9CE"/>
                                                <w:right w:val="single" w:sz="8" w:space="0" w:color="7FD9CE"/>
                                              </w:divBdr>
                                              <w:divsChild>
                                                <w:div w:id="1356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4047">
                                          <w:marLeft w:val="0"/>
                                          <w:marRight w:val="0"/>
                                          <w:marTop w:val="0"/>
                                          <w:marBottom w:val="411"/>
                                          <w:divBdr>
                                            <w:top w:val="none" w:sz="0" w:space="0" w:color="auto"/>
                                            <w:left w:val="none" w:sz="0" w:space="0" w:color="auto"/>
                                            <w:bottom w:val="none" w:sz="0" w:space="0" w:color="auto"/>
                                            <w:right w:val="none" w:sz="0" w:space="0" w:color="auto"/>
                                          </w:divBdr>
                                          <w:divsChild>
                                            <w:div w:id="355429277">
                                              <w:marLeft w:val="0"/>
                                              <w:marRight w:val="0"/>
                                              <w:marTop w:val="0"/>
                                              <w:marBottom w:val="0"/>
                                              <w:divBdr>
                                                <w:top w:val="none" w:sz="0" w:space="0" w:color="auto"/>
                                                <w:left w:val="none" w:sz="0" w:space="0" w:color="auto"/>
                                                <w:bottom w:val="none" w:sz="0" w:space="0" w:color="auto"/>
                                                <w:right w:val="none" w:sz="0" w:space="0" w:color="auto"/>
                                              </w:divBdr>
                                              <w:divsChild>
                                                <w:div w:id="481629029">
                                                  <w:marLeft w:val="0"/>
                                                  <w:marRight w:val="0"/>
                                                  <w:marTop w:val="0"/>
                                                  <w:marBottom w:val="0"/>
                                                  <w:divBdr>
                                                    <w:top w:val="none" w:sz="0" w:space="0" w:color="auto"/>
                                                    <w:left w:val="none" w:sz="0" w:space="0" w:color="auto"/>
                                                    <w:bottom w:val="none" w:sz="0" w:space="0" w:color="auto"/>
                                                    <w:right w:val="none" w:sz="0" w:space="0" w:color="auto"/>
                                                  </w:divBdr>
                                                  <w:divsChild>
                                                    <w:div w:id="12244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9514">
          <w:marLeft w:val="0"/>
          <w:marRight w:val="0"/>
          <w:marTop w:val="0"/>
          <w:marBottom w:val="0"/>
          <w:divBdr>
            <w:top w:val="none" w:sz="0" w:space="0" w:color="auto"/>
            <w:left w:val="none" w:sz="0" w:space="0" w:color="auto"/>
            <w:bottom w:val="none" w:sz="0" w:space="0" w:color="auto"/>
            <w:right w:val="none" w:sz="0" w:space="0" w:color="auto"/>
          </w:divBdr>
          <w:divsChild>
            <w:div w:id="452557124">
              <w:marLeft w:val="-309"/>
              <w:marRight w:val="-309"/>
              <w:marTop w:val="0"/>
              <w:marBottom w:val="0"/>
              <w:divBdr>
                <w:top w:val="none" w:sz="0" w:space="0" w:color="auto"/>
                <w:left w:val="none" w:sz="0" w:space="0" w:color="auto"/>
                <w:bottom w:val="none" w:sz="0" w:space="0" w:color="auto"/>
                <w:right w:val="none" w:sz="0" w:space="0" w:color="auto"/>
              </w:divBdr>
              <w:divsChild>
                <w:div w:id="798718481">
                  <w:marLeft w:val="0"/>
                  <w:marRight w:val="0"/>
                  <w:marTop w:val="0"/>
                  <w:marBottom w:val="0"/>
                  <w:divBdr>
                    <w:top w:val="none" w:sz="0" w:space="0" w:color="auto"/>
                    <w:left w:val="none" w:sz="0" w:space="0" w:color="auto"/>
                    <w:bottom w:val="none" w:sz="0" w:space="0" w:color="auto"/>
                    <w:right w:val="none" w:sz="0" w:space="0" w:color="auto"/>
                  </w:divBdr>
                  <w:divsChild>
                    <w:div w:id="1563636190">
                      <w:marLeft w:val="0"/>
                      <w:marRight w:val="0"/>
                      <w:marTop w:val="0"/>
                      <w:marBottom w:val="0"/>
                      <w:divBdr>
                        <w:top w:val="none" w:sz="0" w:space="0" w:color="auto"/>
                        <w:left w:val="none" w:sz="0" w:space="0" w:color="auto"/>
                        <w:bottom w:val="none" w:sz="0" w:space="0" w:color="auto"/>
                        <w:right w:val="none" w:sz="0" w:space="0" w:color="auto"/>
                      </w:divBdr>
                      <w:divsChild>
                        <w:div w:id="950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1974">
                  <w:marLeft w:val="0"/>
                  <w:marRight w:val="0"/>
                  <w:marTop w:val="0"/>
                  <w:marBottom w:val="0"/>
                  <w:divBdr>
                    <w:top w:val="none" w:sz="0" w:space="0" w:color="auto"/>
                    <w:left w:val="none" w:sz="0" w:space="0" w:color="auto"/>
                    <w:bottom w:val="none" w:sz="0" w:space="0" w:color="auto"/>
                    <w:right w:val="none" w:sz="0" w:space="0" w:color="auto"/>
                  </w:divBdr>
                  <w:divsChild>
                    <w:div w:id="2066441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7965552">
          <w:marLeft w:val="0"/>
          <w:marRight w:val="0"/>
          <w:marTop w:val="0"/>
          <w:marBottom w:val="0"/>
          <w:divBdr>
            <w:top w:val="none" w:sz="0" w:space="0" w:color="auto"/>
            <w:left w:val="none" w:sz="0" w:space="0" w:color="auto"/>
            <w:bottom w:val="none" w:sz="0" w:space="0" w:color="auto"/>
            <w:right w:val="none" w:sz="0" w:space="0" w:color="auto"/>
          </w:divBdr>
          <w:divsChild>
            <w:div w:id="807669508">
              <w:marLeft w:val="-309"/>
              <w:marRight w:val="-309"/>
              <w:marTop w:val="0"/>
              <w:marBottom w:val="0"/>
              <w:divBdr>
                <w:top w:val="none" w:sz="0" w:space="0" w:color="auto"/>
                <w:left w:val="none" w:sz="0" w:space="0" w:color="auto"/>
                <w:bottom w:val="none" w:sz="0" w:space="0" w:color="auto"/>
                <w:right w:val="none" w:sz="0" w:space="0" w:color="auto"/>
              </w:divBdr>
              <w:divsChild>
                <w:div w:id="65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1632">
          <w:marLeft w:val="0"/>
          <w:marRight w:val="0"/>
          <w:marTop w:val="0"/>
          <w:marBottom w:val="0"/>
          <w:divBdr>
            <w:top w:val="none" w:sz="0" w:space="0" w:color="auto"/>
            <w:left w:val="none" w:sz="0" w:space="0" w:color="auto"/>
            <w:bottom w:val="none" w:sz="0" w:space="0" w:color="auto"/>
            <w:right w:val="none" w:sz="0" w:space="0" w:color="auto"/>
          </w:divBdr>
        </w:div>
        <w:div w:id="515536203">
          <w:marLeft w:val="0"/>
          <w:marRight w:val="0"/>
          <w:marTop w:val="0"/>
          <w:marBottom w:val="0"/>
          <w:divBdr>
            <w:top w:val="none" w:sz="0" w:space="0" w:color="auto"/>
            <w:left w:val="none" w:sz="0" w:space="0" w:color="auto"/>
            <w:bottom w:val="none" w:sz="0" w:space="0" w:color="auto"/>
            <w:right w:val="none" w:sz="0" w:space="0" w:color="auto"/>
          </w:divBdr>
          <w:divsChild>
            <w:div w:id="522743153">
              <w:marLeft w:val="0"/>
              <w:marRight w:val="0"/>
              <w:marTop w:val="0"/>
              <w:marBottom w:val="0"/>
              <w:divBdr>
                <w:top w:val="none" w:sz="0" w:space="0" w:color="auto"/>
                <w:left w:val="none" w:sz="0" w:space="0" w:color="auto"/>
                <w:bottom w:val="none" w:sz="0" w:space="0" w:color="auto"/>
                <w:right w:val="none" w:sz="0" w:space="0" w:color="auto"/>
              </w:divBdr>
              <w:divsChild>
                <w:div w:id="1166168000">
                  <w:marLeft w:val="0"/>
                  <w:marRight w:val="0"/>
                  <w:marTop w:val="0"/>
                  <w:marBottom w:val="0"/>
                  <w:divBdr>
                    <w:top w:val="none" w:sz="0" w:space="0" w:color="auto"/>
                    <w:left w:val="none" w:sz="0" w:space="0" w:color="auto"/>
                    <w:bottom w:val="none" w:sz="0" w:space="0" w:color="auto"/>
                    <w:right w:val="none" w:sz="0" w:space="0" w:color="auto"/>
                  </w:divBdr>
                  <w:divsChild>
                    <w:div w:id="1362051418">
                      <w:marLeft w:val="0"/>
                      <w:marRight w:val="0"/>
                      <w:marTop w:val="0"/>
                      <w:marBottom w:val="0"/>
                      <w:divBdr>
                        <w:top w:val="none" w:sz="0" w:space="0" w:color="auto"/>
                        <w:left w:val="none" w:sz="0" w:space="0" w:color="auto"/>
                        <w:bottom w:val="none" w:sz="0" w:space="0" w:color="auto"/>
                        <w:right w:val="none" w:sz="0" w:space="0" w:color="auto"/>
                      </w:divBdr>
                      <w:divsChild>
                        <w:div w:id="963846238">
                          <w:marLeft w:val="0"/>
                          <w:marRight w:val="0"/>
                          <w:marTop w:val="0"/>
                          <w:marBottom w:val="0"/>
                          <w:divBdr>
                            <w:top w:val="single" w:sz="2" w:space="31" w:color="000000"/>
                            <w:left w:val="single" w:sz="2" w:space="31" w:color="000000"/>
                            <w:bottom w:val="single" w:sz="2" w:space="31" w:color="000000"/>
                            <w:right w:val="single" w:sz="2" w:space="31" w:color="000000"/>
                          </w:divBdr>
                          <w:divsChild>
                            <w:div w:id="1261447601">
                              <w:marLeft w:val="0"/>
                              <w:marRight w:val="0"/>
                              <w:marTop w:val="0"/>
                              <w:marBottom w:val="0"/>
                              <w:divBdr>
                                <w:top w:val="none" w:sz="0" w:space="0" w:color="auto"/>
                                <w:left w:val="none" w:sz="0" w:space="0" w:color="auto"/>
                                <w:bottom w:val="none" w:sz="0" w:space="0" w:color="auto"/>
                                <w:right w:val="none" w:sz="0" w:space="0" w:color="auto"/>
                              </w:divBdr>
                              <w:divsChild>
                                <w:div w:id="928928362">
                                  <w:marLeft w:val="0"/>
                                  <w:marRight w:val="0"/>
                                  <w:marTop w:val="0"/>
                                  <w:marBottom w:val="0"/>
                                  <w:divBdr>
                                    <w:top w:val="none" w:sz="0" w:space="0" w:color="auto"/>
                                    <w:left w:val="none" w:sz="0" w:space="0" w:color="auto"/>
                                    <w:bottom w:val="none" w:sz="0" w:space="0" w:color="auto"/>
                                    <w:right w:val="none" w:sz="0" w:space="0" w:color="auto"/>
                                  </w:divBdr>
                                </w:div>
                              </w:divsChild>
                            </w:div>
                            <w:div w:id="1464273709">
                              <w:marLeft w:val="0"/>
                              <w:marRight w:val="0"/>
                              <w:marTop w:val="0"/>
                              <w:marBottom w:val="0"/>
                              <w:divBdr>
                                <w:top w:val="single" w:sz="2" w:space="0" w:color="000000"/>
                                <w:left w:val="single" w:sz="2" w:space="0" w:color="000000"/>
                                <w:bottom w:val="single" w:sz="2" w:space="0" w:color="000000"/>
                                <w:right w:val="single" w:sz="2" w:space="0" w:color="000000"/>
                              </w:divBdr>
                              <w:divsChild>
                                <w:div w:id="221985567">
                                  <w:marLeft w:val="0"/>
                                  <w:marRight w:val="0"/>
                                  <w:marTop w:val="0"/>
                                  <w:marBottom w:val="0"/>
                                  <w:divBdr>
                                    <w:top w:val="none" w:sz="0" w:space="0" w:color="auto"/>
                                    <w:left w:val="none" w:sz="0" w:space="0" w:color="auto"/>
                                    <w:bottom w:val="none" w:sz="0" w:space="0" w:color="auto"/>
                                    <w:right w:val="none" w:sz="0" w:space="0" w:color="auto"/>
                                  </w:divBdr>
                                </w:div>
                                <w:div w:id="1908761302">
                                  <w:marLeft w:val="0"/>
                                  <w:marRight w:val="0"/>
                                  <w:marTop w:val="411"/>
                                  <w:marBottom w:val="0"/>
                                  <w:divBdr>
                                    <w:top w:val="single" w:sz="2" w:space="0" w:color="000000"/>
                                    <w:left w:val="single" w:sz="2" w:space="0" w:color="000000"/>
                                    <w:bottom w:val="single" w:sz="2" w:space="0" w:color="000000"/>
                                    <w:right w:val="single" w:sz="2" w:space="0" w:color="000000"/>
                                  </w:divBdr>
                                  <w:divsChild>
                                    <w:div w:id="2008557967">
                                      <w:marLeft w:val="0"/>
                                      <w:marRight w:val="0"/>
                                      <w:marTop w:val="0"/>
                                      <w:marBottom w:val="0"/>
                                      <w:divBdr>
                                        <w:top w:val="none" w:sz="0" w:space="0" w:color="auto"/>
                                        <w:left w:val="none" w:sz="0" w:space="0" w:color="auto"/>
                                        <w:bottom w:val="none" w:sz="0" w:space="0" w:color="auto"/>
                                        <w:right w:val="none" w:sz="0" w:space="0" w:color="auto"/>
                                      </w:divBdr>
                                      <w:divsChild>
                                        <w:div w:id="1844589071">
                                          <w:marLeft w:val="0"/>
                                          <w:marRight w:val="0"/>
                                          <w:marTop w:val="0"/>
                                          <w:marBottom w:val="0"/>
                                          <w:divBdr>
                                            <w:top w:val="none" w:sz="0" w:space="0" w:color="auto"/>
                                            <w:left w:val="none" w:sz="0" w:space="0" w:color="auto"/>
                                            <w:bottom w:val="none" w:sz="0" w:space="0" w:color="auto"/>
                                            <w:right w:val="none" w:sz="0" w:space="0" w:color="auto"/>
                                          </w:divBdr>
                                          <w:divsChild>
                                            <w:div w:id="563876885">
                                              <w:marLeft w:val="0"/>
                                              <w:marRight w:val="0"/>
                                              <w:marTop w:val="0"/>
                                              <w:marBottom w:val="0"/>
                                              <w:divBdr>
                                                <w:top w:val="none" w:sz="0" w:space="0" w:color="auto"/>
                                                <w:left w:val="none" w:sz="0" w:space="0" w:color="auto"/>
                                                <w:bottom w:val="none" w:sz="0" w:space="0" w:color="auto"/>
                                                <w:right w:val="none" w:sz="0" w:space="0" w:color="auto"/>
                                              </w:divBdr>
                                              <w:divsChild>
                                                <w:div w:id="5084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2455">
                                      <w:marLeft w:val="0"/>
                                      <w:marRight w:val="0"/>
                                      <w:marTop w:val="0"/>
                                      <w:marBottom w:val="0"/>
                                      <w:divBdr>
                                        <w:top w:val="none" w:sz="0" w:space="0" w:color="auto"/>
                                        <w:left w:val="none" w:sz="0" w:space="0" w:color="auto"/>
                                        <w:bottom w:val="none" w:sz="0" w:space="0" w:color="auto"/>
                                        <w:right w:val="none" w:sz="0" w:space="0" w:color="auto"/>
                                      </w:divBdr>
                                      <w:divsChild>
                                        <w:div w:id="19485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z.ligazakon.ua/ua/magazine_article/BZ00878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ibuhgalter.net/material/1115/22327" TargetMode="External"/><Relationship Id="rId12" Type="http://schemas.openxmlformats.org/officeDocument/2006/relationships/hyperlink" Target="https://bz.ligazakon.ua/ua/magazine_article/BZ00878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x.gov.ua/zakonodavstvo/podatki-ta-zbori/zagalnoderjavni-podatki/plata-za-zemlyu--fizichni-oso/formi-zvitnost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z.ligazakon.ua/ua/magazine_article/BZ0087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z.ligazakon.ua/ua/magazine_article/BZ00878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z.ligazakon.ua/ua/magazine_article/BZ00878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5</cp:revision>
  <dcterms:created xsi:type="dcterms:W3CDTF">2022-04-21T06:46:00Z</dcterms:created>
  <dcterms:modified xsi:type="dcterms:W3CDTF">2022-04-21T07:23:00Z</dcterms:modified>
</cp:coreProperties>
</file>