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9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7"/>
        <w:gridCol w:w="7397"/>
      </w:tblGrid>
      <w:tr w:rsidR="00763277" w:rsidRPr="00763277" w:rsidTr="00763277">
        <w:trPr>
          <w:trHeight w:val="1381"/>
        </w:trPr>
        <w:tc>
          <w:tcPr>
            <w:tcW w:w="7397" w:type="dxa"/>
            <w:hideMark/>
          </w:tcPr>
          <w:p w:rsidR="00763277" w:rsidRPr="00763277" w:rsidRDefault="00763277" w:rsidP="007632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277">
              <w:rPr>
                <w:rFonts w:ascii="Times New Roman" w:hAnsi="Times New Roman"/>
                <w:b/>
                <w:i/>
                <w:sz w:val="28"/>
                <w:szCs w:val="28"/>
              </w:rPr>
              <w:t>Схвалено</w:t>
            </w:r>
          </w:p>
          <w:p w:rsidR="00763277" w:rsidRPr="00763277" w:rsidRDefault="00763277" w:rsidP="007632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277">
              <w:rPr>
                <w:rFonts w:ascii="Times New Roman" w:hAnsi="Times New Roman"/>
                <w:b/>
                <w:i/>
                <w:sz w:val="28"/>
                <w:szCs w:val="28"/>
              </w:rPr>
              <w:t>Розпорядження голови облдержадміністрації</w:t>
            </w:r>
          </w:p>
          <w:p w:rsidR="00763277" w:rsidRPr="00763277" w:rsidRDefault="00763277" w:rsidP="001C7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277">
              <w:rPr>
                <w:rFonts w:ascii="Times New Roman" w:hAnsi="Times New Roman"/>
                <w:b/>
                <w:i/>
                <w:sz w:val="28"/>
                <w:szCs w:val="28"/>
              </w:rPr>
              <w:t>від «</w:t>
            </w:r>
            <w:r w:rsidR="001C7F48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  <w:r w:rsidRPr="0076327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1C7F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листопада</w:t>
            </w:r>
            <w:r w:rsidRPr="007632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2021 року № </w:t>
            </w:r>
            <w:r w:rsidR="001C7F48">
              <w:rPr>
                <w:rFonts w:ascii="Times New Roman" w:hAnsi="Times New Roman"/>
                <w:b/>
                <w:i/>
                <w:sz w:val="28"/>
                <w:szCs w:val="28"/>
              </w:rPr>
              <w:t>863</w:t>
            </w:r>
          </w:p>
        </w:tc>
        <w:tc>
          <w:tcPr>
            <w:tcW w:w="7397" w:type="dxa"/>
          </w:tcPr>
          <w:p w:rsidR="00763277" w:rsidRPr="00763277" w:rsidRDefault="00763277" w:rsidP="00763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Затверджено</w:t>
            </w:r>
          </w:p>
          <w:p w:rsidR="00763277" w:rsidRPr="00763277" w:rsidRDefault="00763277" w:rsidP="00763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Рішення Рівненської</w:t>
            </w:r>
            <w:r w:rsidRPr="00763277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обласної</w:t>
            </w:r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ради</w:t>
            </w:r>
          </w:p>
          <w:p w:rsidR="00763277" w:rsidRPr="00763277" w:rsidRDefault="00763277" w:rsidP="0076327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r w:rsidR="00CD26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17</w:t>
            </w:r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» </w:t>
            </w:r>
            <w:r w:rsidR="00CD26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грудня </w:t>
            </w:r>
            <w:r w:rsidRPr="0076327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2021 року № </w:t>
            </w:r>
            <w:r w:rsidR="00CD26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421</w:t>
            </w:r>
          </w:p>
          <w:p w:rsidR="00763277" w:rsidRPr="00763277" w:rsidRDefault="00763277" w:rsidP="007632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63277" w:rsidRPr="00763277" w:rsidRDefault="00763277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4676" w:rsidRPr="00E74676" w:rsidRDefault="005A66C4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Зміни до</w:t>
      </w:r>
      <w:r w:rsidR="00E74676" w:rsidRPr="00E74676">
        <w:rPr>
          <w:rFonts w:ascii="Times New Roman" w:hAnsi="Times New Roman"/>
          <w:b/>
          <w:sz w:val="24"/>
          <w:szCs w:val="24"/>
        </w:rPr>
        <w:t xml:space="preserve"> Обласної цільової соціальної програми національно-патріотичного виховання </w:t>
      </w:r>
    </w:p>
    <w:p w:rsidR="00E74676" w:rsidRDefault="00E74676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676">
        <w:rPr>
          <w:rFonts w:ascii="Times New Roman" w:hAnsi="Times New Roman"/>
          <w:b/>
          <w:sz w:val="24"/>
          <w:szCs w:val="24"/>
        </w:rPr>
        <w:t xml:space="preserve">у </w:t>
      </w:r>
      <w:r w:rsidR="00CD2635">
        <w:rPr>
          <w:rFonts w:ascii="Times New Roman" w:hAnsi="Times New Roman"/>
          <w:b/>
          <w:sz w:val="24"/>
          <w:szCs w:val="24"/>
        </w:rPr>
        <w:t>Рівненській області на 2021-</w:t>
      </w:r>
      <w:r w:rsidRPr="00E74676">
        <w:rPr>
          <w:rFonts w:ascii="Times New Roman" w:hAnsi="Times New Roman"/>
          <w:b/>
          <w:sz w:val="24"/>
          <w:szCs w:val="24"/>
        </w:rPr>
        <w:t>2025 роки</w:t>
      </w:r>
    </w:p>
    <w:p w:rsidR="005A66C4" w:rsidRDefault="005A66C4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26" w:rsidRPr="009579EB" w:rsidRDefault="003C3026" w:rsidP="001636BB">
      <w:pPr>
        <w:pStyle w:val="a3"/>
        <w:numPr>
          <w:ilvl w:val="0"/>
          <w:numId w:val="5"/>
        </w:numPr>
        <w:spacing w:after="0" w:line="228" w:lineRule="auto"/>
        <w:ind w:right="-7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EB">
        <w:rPr>
          <w:rFonts w:ascii="Times New Roman" w:eastAsia="Times New Roman" w:hAnsi="Times New Roman"/>
          <w:sz w:val="24"/>
          <w:szCs w:val="24"/>
          <w:lang w:eastAsia="ru-RU"/>
        </w:rPr>
        <w:t xml:space="preserve">У розділі </w:t>
      </w:r>
      <w:r w:rsidR="009579EB" w:rsidRPr="009579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Програми </w:t>
      </w:r>
      <w:r w:rsidRPr="009579EB">
        <w:rPr>
          <w:rFonts w:ascii="Times New Roman" w:eastAsia="Times New Roman" w:hAnsi="Times New Roman"/>
          <w:sz w:val="24"/>
          <w:szCs w:val="24"/>
          <w:lang w:eastAsia="ru-RU"/>
        </w:rPr>
        <w:t>«Координація та контроль за ходом виконання Програми»:</w:t>
      </w:r>
    </w:p>
    <w:p w:rsidR="003C3026" w:rsidRDefault="003C3026" w:rsidP="001636BB">
      <w:pPr>
        <w:pStyle w:val="a3"/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«департамент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розвитку адміністративних послуг, соціальної, молодіжної політики та спорту обласної державної адміністрації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в усіх відмінках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замінити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управління у справах молоді та спорту обласної державної адміністрації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відповідному відмінку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3026" w:rsidRDefault="003C3026" w:rsidP="001636BB">
      <w:pPr>
        <w:pStyle w:val="a3"/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 «управління освіти і науки обласної державної адміністрації»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усіх відмінках замінити 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освіти і науки обласної державної адміністрації» </w:t>
      </w:r>
      <w:r w:rsidR="009579EB">
        <w:rPr>
          <w:rFonts w:ascii="Times New Roman" w:eastAsia="Times New Roman" w:hAnsi="Times New Roman"/>
          <w:sz w:val="24"/>
          <w:szCs w:val="24"/>
          <w:lang w:eastAsia="ru-RU"/>
        </w:rPr>
        <w:t>у відповідному відмінку.</w:t>
      </w:r>
    </w:p>
    <w:p w:rsidR="009579EB" w:rsidRPr="003C3026" w:rsidRDefault="009579EB" w:rsidP="001636BB">
      <w:pPr>
        <w:pStyle w:val="a3"/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6C4" w:rsidRPr="0057577E" w:rsidRDefault="009579EB" w:rsidP="001636BB">
      <w:pPr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A66C4" w:rsidRPr="0057577E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до Програми «Завдання і заходи з реалізації Обласної цільової соціальної програми національно-патріотичного виховання </w:t>
      </w:r>
      <w:r w:rsidR="001636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A66C4" w:rsidRPr="0057577E">
        <w:rPr>
          <w:rFonts w:ascii="Times New Roman" w:eastAsia="Times New Roman" w:hAnsi="Times New Roman"/>
          <w:sz w:val="24"/>
          <w:szCs w:val="24"/>
          <w:lang w:eastAsia="ru-RU"/>
        </w:rPr>
        <w:t xml:space="preserve">у Рівненській області на 2021 – 2025 роки» викласти у такій редакції: </w:t>
      </w:r>
    </w:p>
    <w:p w:rsidR="005A66C4" w:rsidRDefault="00283732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0288" behindDoc="1" locked="0" layoutInCell="1" allowOverlap="1" wp14:anchorId="02458B03" wp14:editId="40F29B13">
            <wp:simplePos x="0" y="0"/>
            <wp:positionH relativeFrom="page">
              <wp:posOffset>94806</wp:posOffset>
            </wp:positionH>
            <wp:positionV relativeFrom="paragraph">
              <wp:posOffset>7620</wp:posOffset>
            </wp:positionV>
            <wp:extent cx="264371" cy="356778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1" cy="35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876" w:type="dxa"/>
        <w:jc w:val="center"/>
        <w:tblLayout w:type="fixed"/>
        <w:tblLook w:val="01E0" w:firstRow="1" w:lastRow="1" w:firstColumn="1" w:lastColumn="1" w:noHBand="0" w:noVBand="0"/>
      </w:tblPr>
      <w:tblGrid>
        <w:gridCol w:w="423"/>
        <w:gridCol w:w="2549"/>
        <w:gridCol w:w="1134"/>
        <w:gridCol w:w="709"/>
        <w:gridCol w:w="709"/>
        <w:gridCol w:w="708"/>
        <w:gridCol w:w="709"/>
        <w:gridCol w:w="709"/>
        <w:gridCol w:w="2409"/>
        <w:gridCol w:w="6"/>
        <w:gridCol w:w="1128"/>
        <w:gridCol w:w="6"/>
        <w:gridCol w:w="1128"/>
        <w:gridCol w:w="6"/>
        <w:gridCol w:w="703"/>
        <w:gridCol w:w="6"/>
        <w:gridCol w:w="703"/>
        <w:gridCol w:w="6"/>
        <w:gridCol w:w="703"/>
        <w:gridCol w:w="6"/>
        <w:gridCol w:w="707"/>
        <w:gridCol w:w="6"/>
        <w:gridCol w:w="703"/>
      </w:tblGrid>
      <w:tr w:rsidR="007D494B" w:rsidRPr="007650D2" w:rsidTr="00283732">
        <w:trPr>
          <w:cantSplit/>
          <w:tblHeader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Строк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виконан</w:t>
            </w:r>
            <w:proofErr w:type="spellEnd"/>
            <w:r w:rsidR="00187B0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ня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Кількісні показники по роках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Джерела фінансу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</w:t>
            </w:r>
            <w:proofErr w:type="spellEnd"/>
            <w:r w:rsidR="00406F7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ні обсяги видатків, тис. 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ивень</w:t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тому числі за роками, тис. гривень</w:t>
            </w:r>
          </w:p>
        </w:tc>
      </w:tr>
      <w:tr w:rsidR="00C072A4" w:rsidRPr="007650D2" w:rsidTr="00283732">
        <w:trPr>
          <w:cantSplit/>
          <w:tblHeader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keepNext/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keepNext/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E74676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74" w:rsidRPr="007650D2" w:rsidRDefault="00E74676" w:rsidP="00E346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1. Формування української громадянської ідентичності - здійснення заходів, спрямованих на впровадження та утвердження суспільно-державних (національних) цінностей, розвит</w:t>
            </w:r>
            <w:r w:rsidR="002023D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к громадянської ідентичності населення України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конкурсу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творчих робіт, присвячених 30-й річниці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езалежності України </w:t>
            </w:r>
            <w:r w:rsidR="00283732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             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«30 для Незалежної»</w:t>
            </w:r>
          </w:p>
          <w:p w:rsidR="00283732" w:rsidRPr="007650D2" w:rsidRDefault="00283732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406F7F">
            <w:pPr>
              <w:widowControl w:val="0"/>
              <w:shd w:val="clear" w:color="auto" w:fill="FFFFFF"/>
              <w:spacing w:after="0" w:line="240" w:lineRule="auto"/>
              <w:ind w:firstLine="1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11321A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комунальний заклад «Рівненський обласний молодіжний пластовий вишкільний центр»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76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Створення електронної книги «Герої АТО/ООС із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Рівненщини»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2021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Рівненської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омунальний заклад «Рівненський обласний краєзнавчий музей» Рівненської обласної ради</w:t>
            </w:r>
            <w:r w:rsidR="004F2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сучасних пересувних музейних виставок з історії українського національно-визвольного руху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7650D2" w:rsidRDefault="00E7467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омунальний заклад «Рівненський обласний краєзнавчий музей»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75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історично-пошукової роботи з встановлення та благоустрою місць, пов’язаних з національно-визвольними змаганнями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11321A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комунальний заклад «Рівненський обласний молодіжний пластовий вишкільний центр» Рівненської обласної ради, управління культури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</w:t>
            </w:r>
            <w:r w:rsidR="00283732">
              <w:rPr>
                <w:rFonts w:ascii="Times New Roman" w:hAnsi="Times New Roman"/>
                <w:sz w:val="20"/>
                <w:szCs w:val="20"/>
              </w:rPr>
              <w:t xml:space="preserve"> туризму облдержадмі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ністрації  комунальний заклад «Рівненський обласний краєзнавчий музей» Рівненської обласної 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ради, райдержадміністрації, викон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авчі 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ком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ітет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75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175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інтерактивної мапи національно-визвольних змагань на території Рівненської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комунальний заклад «Рівненський обласний краєзнавчий музей» Рівненської обласної ради, комунальний заклад «Регіональний інформаційно-комп'ютерний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ентр» Рівненської обласної ради,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F30DA3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1B4CD1" w:rsidRDefault="00F30DA3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sz w:val="20"/>
                <w:szCs w:val="20"/>
              </w:rPr>
              <w:t>2</w:t>
            </w:r>
            <w:r w:rsidR="00AE7A56" w:rsidRPr="00F30DA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288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організації та проведення заходів до визначних та пам’я</w:t>
            </w:r>
            <w:r w:rsidR="002D3A18">
              <w:rPr>
                <w:rFonts w:ascii="Times New Roman" w:hAnsi="Times New Roman"/>
                <w:sz w:val="20"/>
                <w:szCs w:val="20"/>
              </w:rPr>
              <w:t>тних дат, пов’язаних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 історією боротьби за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езалежність України; видатним особистостям українського державотворення, зокрема: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Соборності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створення першої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сотні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боївок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ОУН-Р;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пам’яті Героїв Крут;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Першого бою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боївок</w:t>
            </w:r>
            <w:proofErr w:type="spellEnd"/>
          </w:p>
          <w:p w:rsidR="00E74676" w:rsidRPr="007650D2" w:rsidRDefault="002D3A18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ОУН-Р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E74676" w:rsidRPr="007650D2">
              <w:rPr>
                <w:rFonts w:ascii="Times New Roman" w:hAnsi="Times New Roman"/>
                <w:sz w:val="20"/>
                <w:szCs w:val="20"/>
              </w:rPr>
              <w:t>Володимирці</w:t>
            </w:r>
            <w:proofErr w:type="spellEnd"/>
            <w:r w:rsidR="00E74676" w:rsidRPr="00765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Державного Герба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народження Уласа Самчука;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Героїв Небесної Сотні;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Міжнародного дня рідної мови;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Днів пам’яті Тараса Шевченка;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добровольця;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перемоги над нацизмом у Другій Світовій війні;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Європи;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Матері;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пам’яті жертв політичних репресій;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Міжнародного дня сім’ї;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Дня Героїв;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Конституції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заснування УПА «Поліська Січ»;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Державного Прапора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езалежності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захисника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української писемності і мови;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пам’яті жертв Голодоморів в Україні; </w:t>
            </w:r>
          </w:p>
          <w:p w:rsidR="00E74676" w:rsidRPr="007650D2" w:rsidRDefault="00E74676" w:rsidP="002023D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Гідності та Свободи тощо.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11321A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 управління культури і туризму облдержадміністрації, відділення </w:t>
            </w:r>
            <w:r w:rsidR="002023DD" w:rsidRPr="002B20AA">
              <w:rPr>
                <w:rFonts w:ascii="Times New Roman" w:hAnsi="Times New Roman"/>
                <w:sz w:val="20"/>
                <w:szCs w:val="20"/>
              </w:rPr>
              <w:t>цивільно-військового співробітництва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3DD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оперативного командування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«ЗАХІД»,  Рівненськ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ий обласний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територіальний </w:t>
            </w:r>
            <w:r w:rsidR="002023DD" w:rsidRPr="002B20AA">
              <w:rPr>
                <w:rFonts w:ascii="Times New Roman" w:hAnsi="Times New Roman"/>
                <w:sz w:val="20"/>
                <w:szCs w:val="20"/>
              </w:rPr>
              <w:t>центр комплектування та соціальної підтримк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и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у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>правління патрульної поліції в Рівненській області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Департаменту патрульної поліції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, райдержадміністрації,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виконавчі комітети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громад, Рівненська обласна організація Національної спілки письменників України,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3366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33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конкурсів письмових есе, фотографій та відеороликів, в тому числі у  соціальних мережах</w:t>
            </w:r>
            <w:r w:rsidR="002023DD"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 тему патріотизму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DD" w:rsidRDefault="002023DD" w:rsidP="002023D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Default="0011321A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E74676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інститути громадянського суспільства</w:t>
            </w:r>
          </w:p>
          <w:p w:rsidR="00BC120F" w:rsidRDefault="00BC120F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20F" w:rsidRPr="007650D2" w:rsidRDefault="00BC120F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2023D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215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4F2E33" w:rsidRDefault="005557F7" w:rsidP="005557F7">
            <w:pPr>
              <w:widowControl w:val="0"/>
              <w:shd w:val="clear" w:color="auto" w:fill="FFFFFF"/>
              <w:tabs>
                <w:tab w:val="left" w:pos="1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 xml:space="preserve">Проведення заходів (конкурсів, акцій, диспутів, дебатів, історичних </w:t>
            </w:r>
            <w:proofErr w:type="spellStart"/>
            <w:r w:rsidRPr="004F2E33">
              <w:rPr>
                <w:rFonts w:ascii="Times New Roman" w:hAnsi="Times New Roman"/>
                <w:sz w:val="20"/>
                <w:szCs w:val="20"/>
              </w:rPr>
              <w:t>квестів</w:t>
            </w:r>
            <w:proofErr w:type="spellEnd"/>
            <w:r w:rsidRPr="004F2E33">
              <w:rPr>
                <w:rFonts w:ascii="Times New Roman" w:hAnsi="Times New Roman"/>
                <w:sz w:val="20"/>
                <w:szCs w:val="20"/>
              </w:rPr>
              <w:t xml:space="preserve">, тренінгів, семінарів, фестивалів тощо), спрямованих на: 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популяризацію національної духовно-культурної спадщини;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підвищення рівня знань про видатних особистостей українського державотворення та історію боротьби за незалежність України;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 xml:space="preserve">відзначення визначних пам’ятних дат з історії </w:t>
            </w:r>
            <w:r w:rsidRPr="004F2E33">
              <w:rPr>
                <w:rFonts w:ascii="Times New Roman" w:hAnsi="Times New Roman"/>
                <w:sz w:val="20"/>
                <w:szCs w:val="20"/>
              </w:rPr>
              <w:lastRenderedPageBreak/>
              <w:t>України;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вшанування пам’яті 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 тощо</w:t>
            </w:r>
          </w:p>
          <w:p w:rsidR="005557F7" w:rsidRPr="004F2E33" w:rsidRDefault="005557F7" w:rsidP="005557F7">
            <w:pPr>
              <w:widowControl w:val="0"/>
              <w:shd w:val="clear" w:color="auto" w:fill="FFFFFF"/>
              <w:tabs>
                <w:tab w:val="left" w:pos="1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  <w:r w:rsidR="005557F7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406F7F" w:rsidRPr="007650D2" w:rsidTr="00283732">
        <w:trPr>
          <w:cantSplit/>
          <w:trHeight w:val="1986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98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61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обласних, місцевих заходів (акцій, конкурсів, тренінгів, ігор, форумів тощо), 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  <w:r w:rsidR="005557F7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B4C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1B4C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інститути громадянського суспільства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06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2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проведення у закладах освіти тематичних уроків, виховних годин, майстер-класів, лекцій, бесід</w:t>
            </w:r>
            <w:r w:rsidR="00A041D1"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конкурсів, фестивалів,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тощо до Дня української писемності та мови, інших пам’ятних та державних свят за участю представників громадських об’єднань, воїнів АТО/ООС, представників управління патрульної поліції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Default="0011321A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0066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управління патрульної поліції в Рівненській області Департаменту патрульної поліції, </w:t>
            </w:r>
            <w:r w:rsidR="000066EC">
              <w:t xml:space="preserve"> 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відділення цивільно-військового співробітництва оперативного командування «ЗАХІД», виконавчі комітети  сільських, селищних, міських рад територіальних громад, </w:t>
            </w:r>
            <w:r w:rsidR="000066EC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Рівненська обласна організація Національної спілки письменників України, Рівненське обласне об’єднання Всеукраїнського товариства «Просвіта» імені Тараса Шевченка</w:t>
            </w:r>
          </w:p>
          <w:p w:rsidR="00B776C7" w:rsidRPr="007650D2" w:rsidRDefault="00B776C7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2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2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проведення екскурсій здобувачів освіти з метою відвідання визначних історичних місць, ознайомлення з пам’ятками української історії та культури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Default="0011321A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0066EC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і туризму облдержадміністрації, райдержадміністрації, 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0066EC"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 </w:t>
            </w:r>
          </w:p>
          <w:p w:rsidR="00B776C7" w:rsidRPr="007650D2" w:rsidRDefault="00B776C7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AD11A9" w:rsidTr="00283732">
        <w:trPr>
          <w:cantSplit/>
          <w:trHeight w:val="114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 заходів, спрямованих на формування патріотизму у дітей та учнівської молоді: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обласн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зл</w:t>
            </w:r>
            <w:r>
              <w:rPr>
                <w:rFonts w:ascii="Times New Roman" w:hAnsi="Times New Roman"/>
                <w:sz w:val="20"/>
                <w:szCs w:val="20"/>
              </w:rPr>
              <w:t>ьоту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юних туристів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-краєзнавців;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обласн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Всеукраїнського конкурсу екскурсоводів музеїв закладів освіти, у відповідності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із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ціннісни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орієнтир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та індикатор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ефективності Стратегії національно-патріотичного виховання</w:t>
            </w:r>
          </w:p>
          <w:p w:rsidR="00BC120F" w:rsidRPr="007650D2" w:rsidRDefault="00BC120F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комунальний заклад «</w:t>
            </w:r>
            <w:r w:rsidR="00F34F44">
              <w:rPr>
                <w:rFonts w:ascii="Times New Roman" w:hAnsi="Times New Roman"/>
                <w:sz w:val="20"/>
                <w:szCs w:val="20"/>
              </w:rPr>
              <w:t>Рівненський обласний центр національно-патріотичного виховання, туризму і краєзнавства учнівської молоді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5557F7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1A9">
              <w:rPr>
                <w:rFonts w:ascii="Times New Roman" w:hAnsi="Times New Roman"/>
                <w:sz w:val="20"/>
                <w:szCs w:val="20"/>
              </w:rPr>
              <w:t>1</w:t>
            </w:r>
            <w:r w:rsidR="000066E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14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14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29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Відзначення Дня пам’яті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вшанування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вояків УПА, полеглих у квітні </w:t>
            </w:r>
            <w:r w:rsidR="003A7F5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1944 року в бою під Гурбами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 комунальний заклад «Рівненський обласний краєзнавчий музей» Рівненської обласної ради,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Рівненська обласна організація Національної спілки письменників України,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інститути громадянського суспільства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129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06F7F" w:rsidRPr="007650D2" w:rsidTr="00283732">
        <w:trPr>
          <w:cantSplit/>
          <w:trHeight w:val="129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Сприяння утвердженню традиційних сімейних цінностей та активне залучення сім’ї до процесу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11321A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0066EC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453D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60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Придбання сучасної літератури національно-патріотичного спрямування для забезпечення навчальних закладів, бібліотек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Default="00424BE8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BC120F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 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Розробка концепції, макетування, виготовлення та забезпечення закладів освіти та осередків національно-патріотичного виховання області тематичними матеріалами для оформлення приміщень відповідно до цінностей, ціннісних орієнтирів та індикаторів ефективності Стратегії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11321A" w:rsidP="00296725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і туризму облдержадміністрації, райдержадміністрації, виконавчі комітети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34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34"/>
          <w:jc w:val="center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Проведення конкурсу козацької творчості «За Україну, за її волю!»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11321A" w:rsidP="006B4508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296725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296725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і туризму облдержадміністрації, райдержадміністрації, виконавчі комітети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1534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6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296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4718,0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ind w:left="-71"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1020,0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2. Військово-патріотичне виховання - здійснення заходів, спрямованих на формування у громадян готовності до захисту України, громадського сприяння безпеці та обороні України та підвищення престижу військової і спеціальної державної служби, вшанування пам’яті захисників України</w:t>
            </w:r>
          </w:p>
        </w:tc>
      </w:tr>
      <w:tr w:rsidR="00406F7F" w:rsidRPr="007650D2" w:rsidTr="00283732">
        <w:trPr>
          <w:cantSplit/>
          <w:trHeight w:val="61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C55B4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Введення до переліку курсів підвищення кваліфікації вчителів предмета «Захист України»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 Рівненський обласний інститут післядипломної педагогічної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1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1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теренових ігор, змагань, регіональних фестивалів козацької традиційної культури («Покровський вітер», «Курган Леля»), 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 xml:space="preserve">мандрівного табору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Стежками князів Острозьких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, юнацького табору «</w:t>
            </w:r>
            <w:proofErr w:type="spellStart"/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Дюксин-Сухівці</w:t>
            </w:r>
            <w:proofErr w:type="spellEnd"/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», занять з тактичної медицини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спрямованих на збільшення чисельності молоді, готової до виконання обов’язку із захисту незалежності та територіальної цілісності України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облдержадміністрації, комунальний заклад «Рівненський обласний молодіжний пластовий вишкільний центр» Рівненської обласної ради,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87054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13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та проведення обласного етапу Всеукраїнської дитячо-юнацької військово-патріотичної гри «Сокіл» («Джура»)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 науки облдержадміністрації, комунальний заклад «</w:t>
            </w:r>
            <w:r w:rsidR="00F34F44">
              <w:rPr>
                <w:rFonts w:ascii="Times New Roman" w:hAnsi="Times New Roman"/>
                <w:color w:val="000000"/>
                <w:sz w:val="20"/>
                <w:szCs w:val="20"/>
              </w:rPr>
              <w:t>Рівненський обласний центр національно-патріотичного виховання, туризму і краєзнавства учнівської молоді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Рівненської обласної ради,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523D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0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</w:t>
            </w:r>
            <w:r w:rsidR="003A7F52">
              <w:rPr>
                <w:rFonts w:ascii="Times New Roman" w:hAnsi="Times New Roman"/>
                <w:sz w:val="20"/>
                <w:szCs w:val="20"/>
              </w:rPr>
              <w:t xml:space="preserve">абезпечення участі у заключному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всеукраїнському етапі Всеукраїнської дитячо-юнацької військово-патріотичної гри «Сокіл» («Джура»)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 науки 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облдержадміністрації,  комунальний заклад «</w:t>
            </w:r>
            <w:r w:rsidR="00F34F44">
              <w:rPr>
                <w:rFonts w:ascii="Times New Roman" w:hAnsi="Times New Roman"/>
                <w:color w:val="000000"/>
                <w:sz w:val="20"/>
                <w:szCs w:val="20"/>
              </w:rPr>
              <w:t>Рівненський обласний центр національно-патріотичного виховання, туризму і краєзнавства учнівської молоді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Рівненський обласний територіальний центр комплектування та соціальної підтримки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60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обласних навчально-тренувальних наметових зборів, наметових таборів, походів, експедицій, екскурсій, зокрема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навчально-тренувального збору з підготовки до заключного етапу Всеукраїнської дитячо-юнацької військово-патріотичної гри «Сокіл» («Джура»)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</w:t>
            </w:r>
          </w:p>
          <w:p w:rsidR="00604D2D" w:rsidRPr="007650D2" w:rsidRDefault="00604D2D" w:rsidP="0029672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облдержадміністрації,  комунальний заклад «</w:t>
            </w:r>
            <w:r w:rsidR="00F34F44">
              <w:rPr>
                <w:rFonts w:ascii="Times New Roman" w:hAnsi="Times New Roman"/>
                <w:sz w:val="20"/>
                <w:szCs w:val="20"/>
              </w:rPr>
              <w:t>Рівненський обласний центр національно-</w:t>
            </w:r>
            <w:r w:rsidR="00F34F44">
              <w:rPr>
                <w:rFonts w:ascii="Times New Roman" w:hAnsi="Times New Roman"/>
                <w:sz w:val="20"/>
                <w:szCs w:val="20"/>
              </w:rPr>
              <w:lastRenderedPageBreak/>
              <w:t>патріотичного виховання, туризму і краєзнавства учнівської молоді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Рівненський обласний територіальний центр комплектування та соціальної підтримки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06F7F" w:rsidRPr="007650D2" w:rsidTr="00283732">
        <w:trPr>
          <w:cantSplit/>
          <w:trHeight w:val="160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60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45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тренінгів «Школа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виховників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джур»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11321A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комунальний заклад «Рівненський обласний молодіжний пластовий вишкільний центр» Рівненської обласної ради,</w:t>
            </w: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сільських, селищних,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міських рад територіальних громад, 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25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50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145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145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міжрайонних етапів «Джура-Прикордонник» для відбору команд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які братимуть участь у Всеукраїнському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вишколі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11321A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</w:t>
            </w:r>
            <w:r w:rsidRPr="002A27EB">
              <w:rPr>
                <w:rFonts w:ascii="Times New Roman" w:hAnsi="Times New Roman"/>
                <w:sz w:val="20"/>
                <w:szCs w:val="20"/>
              </w:rPr>
              <w:t>райдержадміністрації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91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 від прикордонних районів Рівненщини у Всеукраїнськи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вишколах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(інших заходах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ктах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) «Джура-Прикордонник»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11321A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</w:t>
            </w:r>
            <w:r w:rsidRPr="002A27EB">
              <w:rPr>
                <w:rFonts w:ascii="Times New Roman" w:hAnsi="Times New Roman"/>
                <w:sz w:val="20"/>
                <w:szCs w:val="20"/>
              </w:rPr>
              <w:t>райдержадміністрації, виконавчі комітети сільських, селищних, міських рад територіальних громад, інститути громадянського суспільс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Р</w:t>
            </w:r>
            <w:r>
              <w:rPr>
                <w:rFonts w:ascii="Times New Roman" w:hAnsi="Times New Roman"/>
                <w:sz w:val="20"/>
                <w:szCs w:val="20"/>
              </w:rPr>
              <w:t>івненського обласного етапу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кту «Нащадки Вільних» для відбору команди на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Всеукраїнський і Міжнародний етап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громад, інститути громадянського суспільства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команди від Рівненщини у Всеукраїнському і Міжнародному етап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3A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r>
              <w:rPr>
                <w:rFonts w:ascii="Times New Roman" w:hAnsi="Times New Roman"/>
                <w:sz w:val="20"/>
                <w:szCs w:val="20"/>
              </w:rPr>
              <w:t>обласного етапу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«Джура-Десантник» для відбору команди на Всеукраїнський етап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Рівненської</w:t>
            </w:r>
          </w:p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інститути громадянського суспільства,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команди від Рівненщ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 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Всеукраїнському етапі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«Джура-Десантник»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облдержадміністрації, інститути громадянського суспільства</w:t>
            </w:r>
          </w:p>
          <w:p w:rsidR="00604D2D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проведення «Дня відкритих дверей» у військових частинах,  проведення показів військової техніки, озброєння та стрілецької зброї на території місця дислокації військових частин</w:t>
            </w:r>
          </w:p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Відділення цивільно-військового співробітництва оперативного командування «ЗАХІД»,</w:t>
            </w:r>
            <w:r w:rsidRPr="003262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командири військових частин Рівненського гарнізону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заходів (семінарів, тренінгів,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вишколів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, фестивалів тощо)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спрямова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них на популяризацію виховних методи</w:t>
            </w:r>
            <w:r>
              <w:rPr>
                <w:rFonts w:ascii="Times New Roman" w:hAnsi="Times New Roman"/>
                <w:sz w:val="20"/>
                <w:szCs w:val="20"/>
              </w:rPr>
              <w:t>к національних бойових мистецтв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</w:t>
            </w: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Рівненська обласна федерація козацького бойового мистецтва «Спас», Рівненська обласна федерація бойового гопака</w:t>
            </w: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Створення та наповнення музеїв, кімнат з історії у за</w:t>
            </w:r>
            <w:r w:rsidR="002D3A18">
              <w:rPr>
                <w:rFonts w:ascii="Times New Roman" w:hAnsi="Times New Roman"/>
                <w:sz w:val="20"/>
                <w:szCs w:val="20"/>
              </w:rPr>
              <w:t>кладах освіти, створення онлайн-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музеїв, добудова музею-криївки УПА в урочищі Гурби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Рівненського району, будівництво музею-криївки УПА в межах Сарненського району, меморіалу повстанської зви</w:t>
            </w:r>
            <w:r w:rsidR="002D3A18">
              <w:rPr>
                <w:rFonts w:ascii="Times New Roman" w:hAnsi="Times New Roman"/>
                <w:sz w:val="20"/>
                <w:szCs w:val="20"/>
              </w:rPr>
              <w:t>тяги «Микитові Рови», історичного музейного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  <w:r w:rsidR="002D3A1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«Хотин Княжий»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виконавчі комітети сільських, </w:t>
            </w:r>
            <w:r w:rsidR="00A14C10">
              <w:rPr>
                <w:rFonts w:ascii="Times New Roman" w:hAnsi="Times New Roman"/>
                <w:sz w:val="20"/>
                <w:szCs w:val="20"/>
              </w:rPr>
              <w:t>селищних, міських рад територіальних громад</w:t>
            </w:r>
          </w:p>
          <w:p w:rsidR="00E84595" w:rsidRPr="007650D2" w:rsidRDefault="00E84595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FA64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FA64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14C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A14C10" w:rsidP="007637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3. Формування науково-методологічних і методичних засад національно-патріотичного виховання - здійснення заходів, спрямованих на розвиток цілісної загальнодержавної політики національно-патріотичного виховання</w:t>
            </w:r>
          </w:p>
        </w:tc>
      </w:tr>
      <w:tr w:rsidR="00406F7F" w:rsidRPr="007650D2" w:rsidTr="00283732">
        <w:trPr>
          <w:cantSplit/>
          <w:trHeight w:val="157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мережі та забезпечення діяльності (проведення заходів) центрів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комунальний заклад «Рівненський обласний молодіжний пластовий вишкільний центр» Рівненської обласної ради, д</w:t>
            </w:r>
            <w:r w:rsidR="00A022B5">
              <w:rPr>
                <w:rFonts w:ascii="Times New Roman" w:hAnsi="Times New Roman"/>
                <w:sz w:val="20"/>
                <w:szCs w:val="20"/>
              </w:rPr>
              <w:t>ержавний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навчальний заклад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«Здолбунівське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вище професійно-технічне училище залізничного транспорту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комунальний заклад «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Острозький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обласний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ліцей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з посиленою військово-фізичною підготовкою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ім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ені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К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остянтина Івановича Острозького» Рівненської обласної ради, райдер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</w:t>
            </w:r>
          </w:p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7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92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Створення на базі Рівненського обласного інституту післядипломної педагогічної освіти Інформаційно-виставкового комплексу освітян-героїв </w:t>
            </w:r>
          </w:p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AF2B5D" w:rsidRDefault="0011321A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604D2D" w:rsidRPr="00AF2B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604D2D" w:rsidRPr="003A0708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B5D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  <w:p w:rsidR="00604D2D" w:rsidRPr="003A0708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14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заходів (тренінгів,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семінарів-тренінгів, семінарів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тощо)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спрямованих на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підвищення кваліфікації фахівців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які працюють в напрям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Рівненський обласний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інститут післядипломної педагогічної освіти, інститути громадянського суспільства, Рівненська обласна організація Національної спілки письменників України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14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14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33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курсів підвищення кваліфікації педагогічних працівників за програмою «Теорія та методика етнокультурної освіти»</w:t>
            </w:r>
          </w:p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022B8A" w:rsidRDefault="0011321A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604D2D"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604D2D" w:rsidRPr="002C642A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458E3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06F7F" w:rsidRPr="007650D2" w:rsidTr="00283732">
        <w:trPr>
          <w:cantSplit/>
          <w:trHeight w:val="541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21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вчення української писемності Рівненщин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на базі Рівненського обласного інституту післядипломної педагогічної освіти тренінгового центру (з використанням бібліотечного фонду Рівненської обласної організації Національної спілки письменників України) для підвищення кваліфікації вчителів української мови та літератури</w:t>
            </w:r>
          </w:p>
          <w:p w:rsidR="00604D2D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022B8A" w:rsidRDefault="0011321A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604D2D"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604D2D" w:rsidRPr="002C642A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освіти, Рівненська обласна організація Національної спілки письменників України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Підготовка і видання методичного забезпечення для підвищення якості організації роботи з патріотичного виховання: посібників, рекомендацій, матеріалів, візуальних матеріалів, сценаріїв виховних заходів тощо</w:t>
            </w: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облдержадміністрації, комунальний заклад «Рівненський обласний молодіжний пластовий вишкільний центр» Рівненської обласної ради</w:t>
            </w: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95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та забезпечення діяльності відділу національно-патріотичного виховання дітей та молоді на базі комунального закладу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34F44">
              <w:rPr>
                <w:rFonts w:ascii="Times New Roman" w:hAnsi="Times New Roman"/>
                <w:sz w:val="20"/>
                <w:szCs w:val="20"/>
              </w:rPr>
              <w:t>Рівненський обласний центр національно-патріотичного виховання, туризму і краєзнавства учнівської молоді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» Рівненської обласної ради</w:t>
            </w:r>
          </w:p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комунальний заклад «</w:t>
            </w:r>
            <w:r w:rsidR="00F34F44">
              <w:rPr>
                <w:rFonts w:ascii="Times New Roman" w:hAnsi="Times New Roman"/>
                <w:sz w:val="20"/>
                <w:szCs w:val="20"/>
              </w:rPr>
              <w:t>Рівненський обласний центр національно-патріотичного виховання, туризму і краєзнавства учнівської молоді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відкриття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туристсько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-краєзнавчої бази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омунального закладу «</w:t>
            </w:r>
            <w:r w:rsidR="00F34F44">
              <w:rPr>
                <w:rFonts w:ascii="Times New Roman" w:hAnsi="Times New Roman"/>
                <w:sz w:val="20"/>
                <w:szCs w:val="20"/>
              </w:rPr>
              <w:t xml:space="preserve">Рівненський обласний центр національно-патріотичного виховання, </w:t>
            </w:r>
            <w:r w:rsidR="00F34F44">
              <w:rPr>
                <w:rFonts w:ascii="Times New Roman" w:hAnsi="Times New Roman"/>
                <w:sz w:val="20"/>
                <w:szCs w:val="20"/>
              </w:rPr>
              <w:lastRenderedPageBreak/>
              <w:t>туризму і краєзнавства учнівської молоді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» Рівненської обласної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2023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і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омунальний  заклад «</w:t>
            </w:r>
            <w:r w:rsidR="00F34F44">
              <w:rPr>
                <w:rFonts w:ascii="Times New Roman" w:hAnsi="Times New Roman"/>
                <w:sz w:val="20"/>
                <w:szCs w:val="20"/>
              </w:rPr>
              <w:t>Рівненський обласний центр національно-патріотичного виховання, туризму і краєзнавства учнівської молоді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» Рівненської обласної ради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Відкриття клубів, гуртків, інших творчих об’єднань військово-патріотичного напряму на базі закладів освіти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Популяризація та широке висвітлення на конференціях, круглих столах, семінарах фактів та подій, що свідчать про боротьбу за незалежність України у ХХ столітті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Рівненське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обласне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об’єднання 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Всеукраїнського товариства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«Просвіта»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імені Тараса Шевченка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Рівненський обласний інститут післядипломної педагогічної освіти,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нарад працівників, відповідальних за національно-патріотичне виховання в органах управління освітою регіонального та місцевих рівнів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70520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70520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3970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4. 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      </w:r>
          </w:p>
        </w:tc>
      </w:tr>
      <w:tr w:rsidR="00406F7F" w:rsidRPr="007650D2" w:rsidTr="00283732">
        <w:trPr>
          <w:cantSplit/>
          <w:trHeight w:val="90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Організація та проведення семінарів, круглих столів, спрямованих на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налагодження співпраці між органами державної влади, органами місцевого самоврядування, громадськими об’єднаннями щодо національно-патріотичного виховання молоді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комунальний заклад «Рівненський обласний молодіжний пластовий вишкільний центр» Рівненської обласної ради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Надання фінансової підтримки реалізації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ктів (програм, заходів) національно-патріотичного спрямування, розроблених інститутами громадянського суспільства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 конкурсній основі</w:t>
            </w: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60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51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406F7F" w:rsidRPr="0042151C" w:rsidTr="00283732">
        <w:trPr>
          <w:cantSplit/>
          <w:trHeight w:val="4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Вручення премій для громадян України, які зробили вагомий внесок в розвиток національно-патріотичного виховання у Рівненській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42151C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</w:t>
            </w:r>
            <w:r w:rsidR="00604D2D" w:rsidRPr="00421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</w:p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участі представників Рівненщини у всеукраїнських і міжнародних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ктах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 заходах національно-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сільських, селищних, міських рад територіальних громад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5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інформування населення Рівненщини про діяльність українських громадських об’єднань,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заборонялись і переслідувались окупаційними та радянським режимами, в тому числі українського пластового руху (Пласт), Спілки української молоді</w:t>
            </w:r>
          </w:p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990D78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3A7F52" w:rsidRPr="003A7F52">
              <w:rPr>
                <w:rFonts w:ascii="Times New Roman" w:hAnsi="Times New Roman"/>
                <w:sz w:val="20"/>
                <w:szCs w:val="20"/>
              </w:rPr>
              <w:t>департамент цифрової трансформації та суспільних комунікацій</w:t>
            </w:r>
            <w:r w:rsidR="003A7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406F7F" w:rsidRPr="007650D2" w:rsidTr="00283732">
        <w:trPr>
          <w:cantSplit/>
          <w:trHeight w:val="99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 аудіовізуальної продукції, інформаційно-рекламних і методичних матеріалів національно-патріотичного спрямування, розміщення інформаційних повідомлень з питань національно-патріотичного виховання в мережі «Інтернет»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990D78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0869A3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0869A3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 </w:t>
            </w:r>
            <w:r w:rsidR="003A7F52" w:rsidRPr="003A7F52">
              <w:rPr>
                <w:rFonts w:ascii="Times New Roman" w:hAnsi="Times New Roman"/>
                <w:sz w:val="20"/>
                <w:szCs w:val="20"/>
              </w:rPr>
              <w:t>департамент цифрової трансформації та суспільних комунікацій</w:t>
            </w:r>
            <w:r w:rsidR="003A7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9A3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31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F37A84" w:rsidRDefault="00604D2D" w:rsidP="000F732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4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30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406F7F" w:rsidRPr="004C406F" w:rsidTr="00283732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за П</w:t>
            </w: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рограмою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42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12600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2428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2487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429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06F7F" w:rsidRPr="004C406F" w:rsidTr="00283732">
        <w:trPr>
          <w:cantSplit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8D2800">
            <w:pPr>
              <w:ind w:left="-95" w:right="-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10083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ED6F4D" w:rsidP="008D2800">
            <w:pPr>
              <w:ind w:left="-56" w:right="-1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04D2D"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213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06F7F" w:rsidRPr="004C406F" w:rsidTr="00283732">
        <w:trPr>
          <w:cantSplit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D2D" w:rsidRPr="00A912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D2D" w:rsidRPr="00A912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</w:tbl>
    <w:p w:rsidR="00990D78" w:rsidRDefault="00990D78">
      <w:r>
        <w:br/>
      </w:r>
      <w:bookmarkStart w:id="0" w:name="_GoBack"/>
    </w:p>
    <w:tbl>
      <w:tblPr>
        <w:tblpPr w:leftFromText="180" w:rightFromText="180" w:vertAnchor="text" w:horzAnchor="margin" w:tblpXSpec="center" w:tblpYSpec="center"/>
        <w:tblW w:w="15509" w:type="dxa"/>
        <w:tblLook w:val="04A0" w:firstRow="1" w:lastRow="0" w:firstColumn="1" w:lastColumn="0" w:noHBand="0" w:noVBand="1"/>
      </w:tblPr>
      <w:tblGrid>
        <w:gridCol w:w="567"/>
        <w:gridCol w:w="9214"/>
        <w:gridCol w:w="2268"/>
        <w:gridCol w:w="766"/>
        <w:gridCol w:w="766"/>
        <w:gridCol w:w="766"/>
        <w:gridCol w:w="58"/>
        <w:gridCol w:w="708"/>
        <w:gridCol w:w="132"/>
        <w:gridCol w:w="634"/>
        <w:gridCol w:w="58"/>
      </w:tblGrid>
      <w:tr w:rsidR="00BC120F" w:rsidRPr="007D494B" w:rsidTr="00990D78">
        <w:trPr>
          <w:trHeight w:val="315"/>
        </w:trPr>
        <w:tc>
          <w:tcPr>
            <w:tcW w:w="14405" w:type="dxa"/>
            <w:gridSpan w:val="7"/>
            <w:shd w:val="clear" w:color="auto" w:fill="auto"/>
            <w:noWrap/>
            <w:vAlign w:val="center"/>
            <w:hideMark/>
          </w:tcPr>
          <w:bookmarkEnd w:id="0"/>
          <w:p w:rsidR="00BC120F" w:rsidRPr="007D494B" w:rsidRDefault="00990D78" w:rsidP="00BC1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="00BC120F" w:rsidRPr="007D4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Орієнтовані обсяги фінансування за розпорядниками коштів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BC120F" w:rsidRPr="007D494B" w:rsidRDefault="00BC120F" w:rsidP="001C7F4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/>
            <w:vAlign w:val="bottom"/>
            <w:hideMark/>
          </w:tcPr>
          <w:p w:rsidR="00BC120F" w:rsidRPr="007D494B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120F" w:rsidRPr="003A18D2" w:rsidTr="00990D78">
        <w:trPr>
          <w:gridAfter w:val="1"/>
          <w:wAfter w:w="58" w:type="dxa"/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120F" w:rsidRPr="00F37A84" w:rsidTr="00990D78">
        <w:trPr>
          <w:gridAfter w:val="1"/>
          <w:wAfter w:w="58" w:type="dxa"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Розпорядники коштів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Джерело фінансування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Орієнтовні обсяги фінансування, тис. гривень</w:t>
            </w:r>
          </w:p>
        </w:tc>
      </w:tr>
      <w:tr w:rsidR="00BC120F" w:rsidRPr="003A18D2" w:rsidTr="00990D78">
        <w:trPr>
          <w:gridAfter w:val="1"/>
          <w:wAfter w:w="58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ED429D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3A18D2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29D" w:rsidRPr="003A18D2" w:rsidRDefault="0011321A" w:rsidP="00ED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у справах молоді та спорту</w:t>
            </w:r>
            <w:r w:rsidR="00ED429D"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3A18D2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культури і туризму</w:t>
            </w:r>
            <w:r w:rsidR="002D3A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6F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6F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11321A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 освіти</w:t>
            </w:r>
            <w:r w:rsidR="00BC120F"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науки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ED6F4D" w:rsidP="00BC12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BC120F"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990D78">
        <w:trPr>
          <w:gridAfter w:val="1"/>
          <w:wAfter w:w="58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11300" w:rsidRDefault="00E74676">
      <w:r w:rsidRPr="007B1386">
        <w:br w:type="page"/>
      </w:r>
    </w:p>
    <w:sectPr w:rsidR="00C11300" w:rsidSect="00990D78">
      <w:headerReference w:type="default" r:id="rId10"/>
      <w:pgSz w:w="16838" w:h="11906" w:orient="landscape"/>
      <w:pgMar w:top="85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71" w:rsidRDefault="001F1671" w:rsidP="00E74676">
      <w:pPr>
        <w:spacing w:after="0" w:line="240" w:lineRule="auto"/>
      </w:pPr>
      <w:r>
        <w:separator/>
      </w:r>
    </w:p>
  </w:endnote>
  <w:endnote w:type="continuationSeparator" w:id="0">
    <w:p w:rsidR="001F1671" w:rsidRDefault="001F1671" w:rsidP="00E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71" w:rsidRDefault="001F1671" w:rsidP="00E74676">
      <w:pPr>
        <w:spacing w:after="0" w:line="240" w:lineRule="auto"/>
      </w:pPr>
      <w:r>
        <w:separator/>
      </w:r>
    </w:p>
  </w:footnote>
  <w:footnote w:type="continuationSeparator" w:id="0">
    <w:p w:rsidR="001F1671" w:rsidRDefault="001F1671" w:rsidP="00E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084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7F52" w:rsidRPr="00E74676" w:rsidRDefault="003A7F5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74676">
          <w:rPr>
            <w:rFonts w:ascii="Times New Roman" w:hAnsi="Times New Roman"/>
            <w:sz w:val="28"/>
            <w:szCs w:val="28"/>
          </w:rPr>
          <w:fldChar w:fldCharType="begin"/>
        </w:r>
        <w:r w:rsidRPr="00E746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4676">
          <w:rPr>
            <w:rFonts w:ascii="Times New Roman" w:hAnsi="Times New Roman"/>
            <w:sz w:val="28"/>
            <w:szCs w:val="28"/>
          </w:rPr>
          <w:fldChar w:fldCharType="separate"/>
        </w:r>
        <w:r w:rsidR="00CD2635" w:rsidRPr="00CD2635">
          <w:rPr>
            <w:rFonts w:ascii="Times New Roman" w:hAnsi="Times New Roman"/>
            <w:noProof/>
            <w:sz w:val="28"/>
            <w:szCs w:val="28"/>
            <w:lang w:val="ru-RU"/>
          </w:rPr>
          <w:t>24</w:t>
        </w:r>
        <w:r w:rsidRPr="00E746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7F52" w:rsidRDefault="003A7F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BDF"/>
    <w:multiLevelType w:val="hybridMultilevel"/>
    <w:tmpl w:val="5EDC981C"/>
    <w:lvl w:ilvl="0" w:tplc="D8C6BBB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B1C"/>
    <w:multiLevelType w:val="hybridMultilevel"/>
    <w:tmpl w:val="72DE1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424A"/>
    <w:multiLevelType w:val="hybridMultilevel"/>
    <w:tmpl w:val="F9A4C92A"/>
    <w:lvl w:ilvl="0" w:tplc="FB080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80B8A"/>
    <w:multiLevelType w:val="hybridMultilevel"/>
    <w:tmpl w:val="B79C7056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0059A"/>
    <w:multiLevelType w:val="hybridMultilevel"/>
    <w:tmpl w:val="032299D0"/>
    <w:lvl w:ilvl="0" w:tplc="C3A8B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6"/>
    <w:rsid w:val="000066EC"/>
    <w:rsid w:val="00012FD6"/>
    <w:rsid w:val="00015BBE"/>
    <w:rsid w:val="000869A3"/>
    <w:rsid w:val="000A083E"/>
    <w:rsid w:val="000B445D"/>
    <w:rsid w:val="000F7327"/>
    <w:rsid w:val="0011321A"/>
    <w:rsid w:val="001636BB"/>
    <w:rsid w:val="00187B07"/>
    <w:rsid w:val="001A74C6"/>
    <w:rsid w:val="001B4CD1"/>
    <w:rsid w:val="001C7F48"/>
    <w:rsid w:val="001F1671"/>
    <w:rsid w:val="002023DD"/>
    <w:rsid w:val="002104E7"/>
    <w:rsid w:val="00237C2D"/>
    <w:rsid w:val="002525DE"/>
    <w:rsid w:val="002565BA"/>
    <w:rsid w:val="00283732"/>
    <w:rsid w:val="00286CFD"/>
    <w:rsid w:val="00296725"/>
    <w:rsid w:val="002A27EB"/>
    <w:rsid w:val="002D3A18"/>
    <w:rsid w:val="002D46E3"/>
    <w:rsid w:val="002E03B5"/>
    <w:rsid w:val="002E211F"/>
    <w:rsid w:val="00323BB8"/>
    <w:rsid w:val="0032622C"/>
    <w:rsid w:val="00333EAE"/>
    <w:rsid w:val="003458E3"/>
    <w:rsid w:val="003616C7"/>
    <w:rsid w:val="00366B52"/>
    <w:rsid w:val="00390620"/>
    <w:rsid w:val="003A0708"/>
    <w:rsid w:val="003A7F52"/>
    <w:rsid w:val="003C3026"/>
    <w:rsid w:val="003C4CEB"/>
    <w:rsid w:val="003C55B4"/>
    <w:rsid w:val="003E1F00"/>
    <w:rsid w:val="00406F7F"/>
    <w:rsid w:val="00415671"/>
    <w:rsid w:val="00424BE8"/>
    <w:rsid w:val="00436651"/>
    <w:rsid w:val="004523DB"/>
    <w:rsid w:val="00453D14"/>
    <w:rsid w:val="00496B38"/>
    <w:rsid w:val="004B1703"/>
    <w:rsid w:val="004F2E33"/>
    <w:rsid w:val="005557F7"/>
    <w:rsid w:val="0057577E"/>
    <w:rsid w:val="00595BDE"/>
    <w:rsid w:val="005A66C4"/>
    <w:rsid w:val="005D5F8B"/>
    <w:rsid w:val="005E47D5"/>
    <w:rsid w:val="00604D2D"/>
    <w:rsid w:val="006113CD"/>
    <w:rsid w:val="006209C4"/>
    <w:rsid w:val="00655B63"/>
    <w:rsid w:val="00655BE6"/>
    <w:rsid w:val="006B4508"/>
    <w:rsid w:val="006D2021"/>
    <w:rsid w:val="006F3D20"/>
    <w:rsid w:val="00701EA5"/>
    <w:rsid w:val="00763277"/>
    <w:rsid w:val="0076374B"/>
    <w:rsid w:val="00767DAA"/>
    <w:rsid w:val="00770520"/>
    <w:rsid w:val="007B1386"/>
    <w:rsid w:val="007B2D03"/>
    <w:rsid w:val="007C69D0"/>
    <w:rsid w:val="007D494B"/>
    <w:rsid w:val="007E0CEE"/>
    <w:rsid w:val="00840BFC"/>
    <w:rsid w:val="00870544"/>
    <w:rsid w:val="008D2800"/>
    <w:rsid w:val="008F45BF"/>
    <w:rsid w:val="008F68A7"/>
    <w:rsid w:val="00931D92"/>
    <w:rsid w:val="009579EB"/>
    <w:rsid w:val="00966CF2"/>
    <w:rsid w:val="00990D78"/>
    <w:rsid w:val="00993952"/>
    <w:rsid w:val="009A5C56"/>
    <w:rsid w:val="009D50A0"/>
    <w:rsid w:val="009E1228"/>
    <w:rsid w:val="00A022B5"/>
    <w:rsid w:val="00A041D1"/>
    <w:rsid w:val="00A07E17"/>
    <w:rsid w:val="00A14C10"/>
    <w:rsid w:val="00A14FEB"/>
    <w:rsid w:val="00A30E9D"/>
    <w:rsid w:val="00A91218"/>
    <w:rsid w:val="00AA440D"/>
    <w:rsid w:val="00AC74D6"/>
    <w:rsid w:val="00AE7A56"/>
    <w:rsid w:val="00AE7DC4"/>
    <w:rsid w:val="00AF2B5D"/>
    <w:rsid w:val="00B23791"/>
    <w:rsid w:val="00B23FE6"/>
    <w:rsid w:val="00B26BD8"/>
    <w:rsid w:val="00B776C7"/>
    <w:rsid w:val="00BB0B94"/>
    <w:rsid w:val="00BC120F"/>
    <w:rsid w:val="00C072A4"/>
    <w:rsid w:val="00C11300"/>
    <w:rsid w:val="00C619B0"/>
    <w:rsid w:val="00CB73AD"/>
    <w:rsid w:val="00CD18D7"/>
    <w:rsid w:val="00CD2635"/>
    <w:rsid w:val="00CE2AAC"/>
    <w:rsid w:val="00CE7C28"/>
    <w:rsid w:val="00D217B8"/>
    <w:rsid w:val="00D90DD1"/>
    <w:rsid w:val="00D93574"/>
    <w:rsid w:val="00E34674"/>
    <w:rsid w:val="00E5330A"/>
    <w:rsid w:val="00E74676"/>
    <w:rsid w:val="00E77FE9"/>
    <w:rsid w:val="00E84595"/>
    <w:rsid w:val="00E87601"/>
    <w:rsid w:val="00EC316A"/>
    <w:rsid w:val="00ED429D"/>
    <w:rsid w:val="00ED6F4D"/>
    <w:rsid w:val="00EE5082"/>
    <w:rsid w:val="00F232DF"/>
    <w:rsid w:val="00F30DA3"/>
    <w:rsid w:val="00F34F44"/>
    <w:rsid w:val="00F37A84"/>
    <w:rsid w:val="00F5756D"/>
    <w:rsid w:val="00FA6463"/>
    <w:rsid w:val="00FD3479"/>
    <w:rsid w:val="00FE04CA"/>
    <w:rsid w:val="00FF42F0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676"/>
    <w:pPr>
      <w:ind w:left="720"/>
      <w:contextualSpacing/>
    </w:pPr>
  </w:style>
  <w:style w:type="paragraph" w:styleId="a4">
    <w:name w:val="No Spacing"/>
    <w:uiPriority w:val="1"/>
    <w:qFormat/>
    <w:rsid w:val="00E746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676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uiPriority w:val="22"/>
    <w:qFormat/>
    <w:rsid w:val="00E74676"/>
    <w:rPr>
      <w:b/>
      <w:bCs/>
    </w:rPr>
  </w:style>
  <w:style w:type="paragraph" w:styleId="a8">
    <w:name w:val="header"/>
    <w:basedOn w:val="a"/>
    <w:link w:val="a9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74676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74676"/>
    <w:rPr>
      <w:rFonts w:ascii="Calibri" w:eastAsia="Calibri" w:hAnsi="Calibri" w:cs="Times New Roman"/>
      <w:lang w:val="uk-UA"/>
    </w:rPr>
  </w:style>
  <w:style w:type="table" w:styleId="ac">
    <w:name w:val="Table Grid"/>
    <w:basedOn w:val="a1"/>
    <w:uiPriority w:val="39"/>
    <w:rsid w:val="007632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676"/>
    <w:pPr>
      <w:ind w:left="720"/>
      <w:contextualSpacing/>
    </w:pPr>
  </w:style>
  <w:style w:type="paragraph" w:styleId="a4">
    <w:name w:val="No Spacing"/>
    <w:uiPriority w:val="1"/>
    <w:qFormat/>
    <w:rsid w:val="00E746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676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uiPriority w:val="22"/>
    <w:qFormat/>
    <w:rsid w:val="00E74676"/>
    <w:rPr>
      <w:b/>
      <w:bCs/>
    </w:rPr>
  </w:style>
  <w:style w:type="paragraph" w:styleId="a8">
    <w:name w:val="header"/>
    <w:basedOn w:val="a"/>
    <w:link w:val="a9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74676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74676"/>
    <w:rPr>
      <w:rFonts w:ascii="Calibri" w:eastAsia="Calibri" w:hAnsi="Calibri" w:cs="Times New Roman"/>
      <w:lang w:val="uk-UA"/>
    </w:rPr>
  </w:style>
  <w:style w:type="table" w:styleId="ac">
    <w:name w:val="Table Grid"/>
    <w:basedOn w:val="a1"/>
    <w:uiPriority w:val="39"/>
    <w:rsid w:val="007632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5D1E-FF84-44B7-B8EB-D0942F5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20284</Words>
  <Characters>11562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ODA</dc:creator>
  <cp:lastModifiedBy>Tetyana_T</cp:lastModifiedBy>
  <cp:revision>3</cp:revision>
  <cp:lastPrinted>2021-12-06T08:36:00Z</cp:lastPrinted>
  <dcterms:created xsi:type="dcterms:W3CDTF">2021-12-14T06:32:00Z</dcterms:created>
  <dcterms:modified xsi:type="dcterms:W3CDTF">2021-12-21T12:56:00Z</dcterms:modified>
</cp:coreProperties>
</file>