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4" w:rsidRDefault="005915C4" w:rsidP="005915C4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Додаток 1 </w:t>
      </w:r>
    </w:p>
    <w:p w:rsidR="005915C4" w:rsidRDefault="005915C4" w:rsidP="005915C4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до звіту за результатами оцінки</w:t>
      </w:r>
    </w:p>
    <w:p w:rsidR="005915C4" w:rsidRDefault="005915C4" w:rsidP="005915C4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корупційних ризиків у діяльності</w:t>
      </w:r>
    </w:p>
    <w:p w:rsidR="005915C4" w:rsidRDefault="005915C4" w:rsidP="005915C4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Рівненської обласної ради</w:t>
      </w:r>
    </w:p>
    <w:p w:rsidR="005915C4" w:rsidRDefault="005915C4" w:rsidP="005915C4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ОПИС</w:t>
      </w:r>
    </w:p>
    <w:p w:rsidR="005915C4" w:rsidRPr="003C3C32" w:rsidRDefault="005915C4" w:rsidP="005915C4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ідентифікованих</w:t>
      </w:r>
      <w:r w:rsidRPr="003C3C32"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корупційних ризиків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 діяльності обласної ради, чинники корупційних ризиків та можливі наслідки корупційного правопорушення чи правопорушення, пов</w:t>
      </w:r>
      <w:r w:rsidRPr="003C3C32"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язаного з корупцією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4"/>
        <w:gridCol w:w="3544"/>
        <w:gridCol w:w="4253"/>
      </w:tblGrid>
      <w:tr w:rsidR="005915C4" w:rsidRPr="000D6996" w:rsidTr="00E64875">
        <w:trPr>
          <w:cantSplit/>
          <w:tblHeader/>
        </w:trPr>
        <w:tc>
          <w:tcPr>
            <w:tcW w:w="1288" w:type="pct"/>
            <w:vAlign w:val="center"/>
          </w:tcPr>
          <w:p w:rsidR="005915C4" w:rsidRPr="000D6996" w:rsidRDefault="005915C4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0D6996">
              <w:rPr>
                <w:rStyle w:val="rvts82"/>
                <w:b/>
                <w:color w:val="000000"/>
                <w:bdr w:val="none" w:sz="0" w:space="0" w:color="auto" w:frame="1"/>
              </w:rPr>
              <w:t>Ідентифікований корупційний ризик</w:t>
            </w:r>
          </w:p>
        </w:tc>
        <w:tc>
          <w:tcPr>
            <w:tcW w:w="1160" w:type="pct"/>
            <w:vAlign w:val="center"/>
          </w:tcPr>
          <w:p w:rsidR="005915C4" w:rsidRPr="000D6996" w:rsidRDefault="005915C4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0D6996">
              <w:rPr>
                <w:rStyle w:val="rvts82"/>
                <w:b/>
                <w:color w:val="000000"/>
                <w:bdr w:val="none" w:sz="0" w:space="0" w:color="auto" w:frame="1"/>
              </w:rPr>
              <w:t>Опис ідентифікованого корупційного ризику</w:t>
            </w:r>
          </w:p>
        </w:tc>
        <w:tc>
          <w:tcPr>
            <w:tcW w:w="1160" w:type="pct"/>
            <w:vAlign w:val="center"/>
          </w:tcPr>
          <w:p w:rsidR="005915C4" w:rsidRPr="000D6996" w:rsidRDefault="005915C4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0D6996">
              <w:rPr>
                <w:rStyle w:val="rvts82"/>
                <w:b/>
                <w:color w:val="000000"/>
                <w:bdr w:val="none" w:sz="0" w:space="0" w:color="auto" w:frame="1"/>
              </w:rPr>
              <w:t>Чинники корупційного ризику</w:t>
            </w:r>
          </w:p>
        </w:tc>
        <w:tc>
          <w:tcPr>
            <w:tcW w:w="1392" w:type="pct"/>
            <w:vAlign w:val="center"/>
          </w:tcPr>
          <w:p w:rsidR="005915C4" w:rsidRPr="000D6996" w:rsidRDefault="005915C4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0D6996"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Можливі наслідки корупційного правопорушення чи правопорушення, </w:t>
            </w:r>
            <w:proofErr w:type="spellStart"/>
            <w:r w:rsidRPr="000D6996">
              <w:rPr>
                <w:rStyle w:val="rvts82"/>
                <w:b/>
                <w:color w:val="000000"/>
                <w:bdr w:val="none" w:sz="0" w:space="0" w:color="auto" w:frame="1"/>
              </w:rPr>
              <w:t>пов</w:t>
            </w:r>
            <w:proofErr w:type="spellEnd"/>
            <w:r w:rsidRPr="000D6996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>’</w:t>
            </w:r>
            <w:proofErr w:type="spellStart"/>
            <w:r w:rsidRPr="000D6996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>язаного</w:t>
            </w:r>
            <w:proofErr w:type="spellEnd"/>
            <w:r w:rsidRPr="000D6996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0D6996">
              <w:rPr>
                <w:rStyle w:val="rvts82"/>
                <w:b/>
                <w:color w:val="000000"/>
                <w:bdr w:val="none" w:sz="0" w:space="0" w:color="auto" w:frame="1"/>
                <w:lang w:val="ru-RU"/>
              </w:rPr>
              <w:t>корупцією</w:t>
            </w:r>
            <w:proofErr w:type="spellEnd"/>
          </w:p>
        </w:tc>
      </w:tr>
      <w:tr w:rsidR="005915C4" w:rsidRPr="000D6996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Вплив на депутатів ради з метою прийняття рішення ради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Вплив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будь-який спосіб (у тому числі шляхом надання матеріальної або іншої вигоди) на депутатів обласної ради з метою прийняття необхідного рішення обласної ради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Порушення норм етики, слабкий механізм контролю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особиста зацікавленість до посадових та третіх осіб, незнання антикорупційного законодавства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Підрив авторитету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обласної ради</w:t>
            </w:r>
            <w:r w:rsidRPr="006F174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прийняття  необґрунтованого або неправомірного рішення</w:t>
            </w:r>
          </w:p>
        </w:tc>
      </w:tr>
      <w:tr w:rsidR="005915C4" w:rsidRPr="007D4E58" w:rsidTr="00E64875">
        <w:tc>
          <w:tcPr>
            <w:tcW w:w="1288" w:type="pct"/>
            <w:vAlign w:val="center"/>
          </w:tcPr>
          <w:p w:rsidR="005915C4" w:rsidRPr="007D4E58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Ймовірність внесення на розгляд депутатів </w:t>
            </w:r>
            <w:proofErr w:type="spellStart"/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рішень обласної ради, що містять дискреційні норми </w:t>
            </w:r>
            <w:proofErr w:type="spellStart"/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корупціогенного</w:t>
            </w:r>
            <w:proofErr w:type="spellEnd"/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характеру  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Підготовка та внесення для розгляду на пленарному засіданні обласної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рішень, які у разі їх прийняття сприятимуть вчиненню корупційних та пов'язаних з корупцією правопорушень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Відсутність додаткового механізму перегляду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рішень на наявність дискреційних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корупціогенних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норм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Порушення законодавства, втрата репутації обласної ради, судові процеси проти обласної ради</w:t>
            </w:r>
          </w:p>
        </w:tc>
      </w:tr>
      <w:tr w:rsidR="005915C4" w:rsidRPr="000D6996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бере участь в конкурсній комісії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Участь </w:t>
            </w:r>
            <w:r w:rsidRPr="009E74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недоброчесної посадової особи місцевого самоврядування виконавчого апарату Рівненської обласної ради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прийн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ятті рішення конкурсної комісії,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яка має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(може мати)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особистий інтерес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Приватний інтерес, відсутність процедури розкриття інформації про конфлікт інтересів членами конкурсної комісії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Прийняття рішення в умовах реального чи потенційного конфлікту інтересів, вчинення корупційного правопорушення чи правопорушення, пов’язаного з корупцією, підрив авторитету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обласної ради</w:t>
            </w:r>
            <w:r w:rsidRPr="006F174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судові процеси</w:t>
            </w:r>
          </w:p>
        </w:tc>
      </w:tr>
      <w:tr w:rsidR="005915C4" w:rsidRPr="000D6996" w:rsidTr="00E64875">
        <w:trPr>
          <w:cantSplit/>
        </w:trPr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 під час роботи зі службовими документами, у зв’язку з чим відповідна інформація може бути передана третім особам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Поширення службової інформації третім особам недоброчесною посадовою особою місцевого самоврядування виконавчого апарату Рівненської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яка має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(може мати)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особистий інтерес 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Порушення норм етики, непорядність та особиста вигода посадової особи органу місцевого самоврядування, слабкий механізм контролю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Підрив авторитету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обласної ради</w:t>
            </w:r>
            <w:r w:rsidRPr="006F174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можливість вчинення </w:t>
            </w:r>
            <w:r w:rsidRPr="006F174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корупційного правопорушення чи правопорушення, пов’язаного з корупцією, притягнення особи до відповідальності</w:t>
            </w:r>
          </w:p>
        </w:tc>
      </w:tr>
      <w:tr w:rsidR="005915C4" w:rsidRPr="000D6996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5.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Ймовірність впливу зацікавлених осіб на представників обласної ради під час підготовки документів для судового розгляду або безпосереднього представництва інтересів обласної ради у судовому процесі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Можливість впливу зацікавлених посадових або інших осіб у будь-який спосіб на представників обласної ради з метою неналежного представництва інтересів обласної ради у судових процесах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Відсутність контролю за діями представників обласної ради, які беруть участь у розгляді судових справ, визначення у довіреностях усього переліку прав учасників процесу відповідно до процесуального законодавства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pStyle w:val="a3"/>
              <w:tabs>
                <w:tab w:val="left" w:pos="170"/>
                <w:tab w:val="left" w:pos="7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Втрата репутації обласної ради, судові процеси проти обласної ради, матеріальні збитки</w:t>
            </w:r>
          </w:p>
        </w:tc>
      </w:tr>
      <w:tr w:rsidR="005915C4" w:rsidRPr="009342F0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Встановлення особами, відповідальними за підготовку тендерної документації, дискримінаційних вимог для потенційних учасників торгів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процедури закупівлі товарів, робіт, послуг з урахуванням інтересів певних учасників торгів шляхом встановлення дискримінаційних вимог у тендерній документації для потенційних учасників торгів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Приватний інтерес посадової особи органу місцевого самоврядування щодо надання переваг певним постачальникам товарів, робіт та послуг, недобросовісність виконання посадових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обов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язків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порушення норм законодавства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Порушення умов конкуренції серед учасників процедури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запупівель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необ’єктивна та упереджена оцінка пропозицій учасників процедури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порушення вимог Закону України «Про публічні закупівлі», підрив авторитету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обласної ради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судові процеси проти об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ласної ради, матеріальні збитки</w:t>
            </w:r>
          </w:p>
        </w:tc>
      </w:tr>
      <w:tr w:rsidR="005915C4" w:rsidRPr="000D6996" w:rsidTr="00E64875">
        <w:trPr>
          <w:cantSplit/>
        </w:trPr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готує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відповіді на запит на публічну інформацію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відповіді на запит на публічну інформацію готується посадовою особою місцевого самоврядування виконавчого апарату Рівненської обласної ради, яка є недоброчесною та/або має особистий інтерес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Приватний інтерес посадової особи органу місцевого самоврядування, недобросовісність виконання посадових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обов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язків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некомпетентність посадової особи органу місцевого самоврядування, порушення норм законодавства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Фінансові втрати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підрив авторитету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обласної ради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судові процеси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притягнення особи до відповідальності</w:t>
            </w:r>
          </w:p>
        </w:tc>
      </w:tr>
      <w:tr w:rsidR="005915C4" w:rsidRPr="000D6996" w:rsidTr="00E64875">
        <w:trPr>
          <w:trHeight w:val="416"/>
        </w:trPr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8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особистий інтерес голів постійних комісій обласної ради, посадових осіб місцевого самоврядування виконавчого апарату Рівненської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депутатів обласної ради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розгляду заяв, звернень громадян та юридичних осіб</w:t>
            </w:r>
          </w:p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керівників відділів виконавчого апарату обласної ради та/або їх особистий інтерес під час розгляду заяв, звернень громадян та юридичних осіб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посадової особи органу місцевого самоврядування, існування приватного інтересу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Неправомірне збагачення, фінансові втрати, підрив авторитету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обласної ради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судові процеси, </w:t>
            </w:r>
            <w:r w:rsidRPr="006F174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притягнення особи до відповідальності</w:t>
            </w:r>
          </w:p>
        </w:tc>
      </w:tr>
      <w:tr w:rsidR="005915C4" w:rsidRPr="000D6996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Зниження рівня відповідальності особи у зв</w:t>
            </w:r>
            <w:r w:rsidRPr="006F174D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язку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наступним звільненням з посади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Недотримання відповідною особою, що звільняється, виконавської дисципліни, зниження відповідальності за збереження матеріальних цінностей.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Невстановлення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контролю (або недостатній контроль) за виконанням повноважень особами, які звільняються з посад у органі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місцевого самоврядування, відсутність мотивації для належного виконання своїх посадових обов'язків у зв'язку з наступним звільненням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Порушення законодавства, втрата репутації обласної ради, судові процеси проти обласної ради, матеріальні збитки</w:t>
            </w:r>
          </w:p>
        </w:tc>
      </w:tr>
      <w:tr w:rsidR="005915C4" w:rsidRPr="000D6996" w:rsidTr="00E64875">
        <w:trPr>
          <w:cantSplit/>
        </w:trPr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10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 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особистий інтерес осіб, уповноважених на виконання функцій держави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службових осіб, які займають відповідальне або особливе відповідальне становище,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суб’єктів декларування, які припинили діяльність, пов’язану з виконанням функцій держави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виконання вимог фінансового контролю, що стосуються несвоєчасного подання, неподання декларації, подання недостовірних відомостей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Зазначення недостовірної інформації у декларації особи уповноваженої на виконання функцій держави або місцевого самоврядування, несвоєчасне подання або неподання такої декларації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Незнання антикорупційного законодавства, умисне приховування інформації, волевиявлення самої особи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4E58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Порушення законодавства, втрата репутації обласної ради</w:t>
            </w: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,</w:t>
            </w:r>
            <w:r w:rsidRPr="007D4E58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п</w:t>
            </w:r>
            <w:r w:rsidRPr="006F174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ритягнення особи до відповідальності</w:t>
            </w:r>
          </w:p>
        </w:tc>
      </w:tr>
      <w:tr w:rsidR="005915C4" w:rsidRPr="000D6996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особистий інтерес осіб, уповноважених на виконання функцій держави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місцевого самоврядування і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єктів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декларування, які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займають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відповідальне або особливе відповідальне становище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які припинили діяльність,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язану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виконанням функцій держави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місцевого самоврядування, під час виконання вимог фінансового контролю, що стосуються несвоєчасного подання або неподання</w:t>
            </w:r>
            <w:r w:rsidRPr="006F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</w:rPr>
              <w:t>суттєві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</w:rPr>
              <w:t>майновому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</w:rPr>
              <w:t>стані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</w:rPr>
              <w:t>суб’єктів</w:t>
            </w:r>
            <w:proofErr w:type="spellEnd"/>
            <w:r w:rsidRPr="006F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74D">
              <w:rPr>
                <w:rFonts w:ascii="Times New Roman" w:hAnsi="Times New Roman"/>
                <w:sz w:val="24"/>
                <w:szCs w:val="24"/>
              </w:rPr>
              <w:t>декларування</w:t>
            </w:r>
            <w:proofErr w:type="spellEnd"/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Зазначення недостовірної інформації у </w:t>
            </w:r>
            <w:r w:rsidRPr="006F174D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повідомленні про суттєві зміни в майновому стані суб’єктів декларування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осіб уповноважених на виконання функцій держави або місцевого самоврядування, які займають посади, пов'язані з високим рівнем корупційних ризиків, несвоєчасне подання або неподання такого </w:t>
            </w:r>
            <w:r w:rsidRPr="006F174D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про суттєві зміни в майновому стані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Незнання антикорупційного законодавства, умисне приховування інформації, волевиявлення самої особи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pStyle w:val="a3"/>
              <w:tabs>
                <w:tab w:val="left" w:pos="170"/>
                <w:tab w:val="left" w:pos="7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4E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Порушення законодавства, втрата репутації обласної ради, притягнення особи до відповідальності</w:t>
            </w:r>
          </w:p>
        </w:tc>
      </w:tr>
      <w:tr w:rsidR="005915C4" w:rsidRPr="000D6996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12. Порушення термінів </w:t>
            </w:r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оприлюднення рішень обласної ради на офіційному </w:t>
            </w:r>
            <w:proofErr w:type="spellStart"/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вебсайті</w:t>
            </w:r>
            <w:proofErr w:type="spellEnd"/>
            <w:r w:rsidRPr="001F1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посадовими особами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виконавчого апарату Рівненської обласної ради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Порушення передбачених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нормативними актами строків оприлюднення рішень, прийнятих обласною радою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Вимога інших осіб,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зацікавлених в затримці оприлюднення окремих матеріалів, конфлікт інтересів, особиста матеріальна вигода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pStyle w:val="a3"/>
              <w:tabs>
                <w:tab w:val="left" w:pos="170"/>
                <w:tab w:val="left" w:pos="7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Порушення етичних, професійних та 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моральних принципів посадової особи місцевого самоврядування, притягнення посадових осіб до адміністративної або ж дисциплінарної відповідальності</w:t>
            </w:r>
          </w:p>
        </w:tc>
      </w:tr>
      <w:tr w:rsidR="005915C4" w:rsidRPr="000D6996" w:rsidTr="00E64875">
        <w:tc>
          <w:tcPr>
            <w:tcW w:w="1288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.Можливість втручання у діяльність конкурсної комісії третіх осіб з метою впливу на прийняття нею рішень, надання членом комісії переваги конкретному кандидату, зокрема у зв'язку з особистою зацікавленістю в результатах відбору.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Втручання у діяльність конкурсної комісії третіх осіб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сприятиме прийняттю членами конкурсної комісії упередженого рішення, що вплине на кінцевий результат, особиста зацікавленість члена конкурсної комісії у результатах конкурсного відбору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</w:t>
            </w: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може призвести до необ’єктивного оцінювання кандидата на заняття вакантної посади. </w:t>
            </w:r>
          </w:p>
        </w:tc>
        <w:tc>
          <w:tcPr>
            <w:tcW w:w="1160" w:type="pct"/>
            <w:vAlign w:val="center"/>
          </w:tcPr>
          <w:p w:rsidR="005915C4" w:rsidRPr="006F174D" w:rsidRDefault="005915C4" w:rsidP="00E6487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Дискреційні повноваження конкурсної комісії, особиста зацікавленість членів конкурсної комісії, наявність у члена конкурсної комісії будь-якого майнового чи немайнового інтересу, у тому числі зумовленого особистими, сімейними, дружніми чи іншими позаслужбовими стосунками з кандидатом, відсутність механізму розкриття інформації про конфлікт інтересів членами конкурсної комісії</w:t>
            </w:r>
          </w:p>
        </w:tc>
        <w:tc>
          <w:tcPr>
            <w:tcW w:w="1392" w:type="pct"/>
            <w:vAlign w:val="center"/>
          </w:tcPr>
          <w:p w:rsidR="005915C4" w:rsidRPr="006F174D" w:rsidRDefault="005915C4" w:rsidP="00E64875">
            <w:pPr>
              <w:pStyle w:val="a3"/>
              <w:tabs>
                <w:tab w:val="left" w:pos="170"/>
                <w:tab w:val="left" w:pos="7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7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Притягнення посадових осіб до відповідальності, втрата репутації обласної ради, судові процеси проти обласної ради, призначення на посаду особи менш кваліфікованої у порівнянні з іншими кандидатами </w:t>
            </w:r>
          </w:p>
        </w:tc>
      </w:tr>
    </w:tbl>
    <w:p w:rsidR="005915C4" w:rsidRPr="00BE2FDC" w:rsidRDefault="005915C4" w:rsidP="005915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15C4" w:rsidRDefault="005915C4" w:rsidP="005915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15C4" w:rsidRDefault="005915C4" w:rsidP="005915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15C4" w:rsidRDefault="005915C4" w:rsidP="005915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001B" w:rsidRPr="005915C4" w:rsidRDefault="00A1001B">
      <w:pPr>
        <w:rPr>
          <w:lang w:val="uk-UA"/>
        </w:rPr>
      </w:pPr>
      <w:bookmarkStart w:id="0" w:name="_GoBack"/>
      <w:bookmarkEnd w:id="0"/>
    </w:p>
    <w:sectPr w:rsidR="00A1001B" w:rsidRPr="005915C4" w:rsidSect="00A1473E">
      <w:pgSz w:w="16838" w:h="11906" w:orient="landscape"/>
      <w:pgMar w:top="709" w:right="850" w:bottom="42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B"/>
    <w:rsid w:val="005915C4"/>
    <w:rsid w:val="00A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5915C4"/>
  </w:style>
  <w:style w:type="paragraph" w:customStyle="1" w:styleId="rvps12">
    <w:name w:val="rvps12"/>
    <w:basedOn w:val="a"/>
    <w:rsid w:val="00591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5915C4"/>
  </w:style>
  <w:style w:type="paragraph" w:styleId="a3">
    <w:name w:val="List Paragraph"/>
    <w:basedOn w:val="a"/>
    <w:uiPriority w:val="34"/>
    <w:qFormat/>
    <w:rsid w:val="0059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5915C4"/>
  </w:style>
  <w:style w:type="paragraph" w:customStyle="1" w:styleId="rvps12">
    <w:name w:val="rvps12"/>
    <w:basedOn w:val="a"/>
    <w:rsid w:val="00591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5915C4"/>
  </w:style>
  <w:style w:type="paragraph" w:styleId="a3">
    <w:name w:val="List Paragraph"/>
    <w:basedOn w:val="a"/>
    <w:uiPriority w:val="34"/>
    <w:qFormat/>
    <w:rsid w:val="0059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6589</Words>
  <Characters>3756</Characters>
  <Application>Microsoft Office Word</Application>
  <DocSecurity>0</DocSecurity>
  <Lines>31</Lines>
  <Paragraphs>20</Paragraphs>
  <ScaleCrop>false</ScaleCrop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2020-07-28T05:34:00Z</dcterms:created>
  <dcterms:modified xsi:type="dcterms:W3CDTF">2020-07-28T05:35:00Z</dcterms:modified>
</cp:coreProperties>
</file>