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6" w:rsidRDefault="00A85CA6" w:rsidP="00A85CA6">
      <w:pPr>
        <w:pStyle w:val="a5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РІВНЕНСЬКА ОБЛАСНА РАДА</w:t>
      </w:r>
    </w:p>
    <w:p w:rsidR="00A85CA6" w:rsidRPr="00A85CA6" w:rsidRDefault="00A85CA6" w:rsidP="00A85CA6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CA6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ПОСТІЙНА КОМІСІЯ З ПИТАНЬ БЮДЖЕТУ, </w:t>
      </w:r>
    </w:p>
    <w:p w:rsidR="00A85CA6" w:rsidRPr="00A85CA6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CA6">
        <w:rPr>
          <w:rFonts w:ascii="Times New Roman" w:hAnsi="Times New Roman"/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ФІНАНСІВ ТА ПОДАТКІВ</w:t>
      </w:r>
    </w:p>
    <w:p w:rsidR="00A85CA6" w:rsidRPr="00A85CA6" w:rsidRDefault="00A85CA6" w:rsidP="00A85C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5CA6" w:rsidRDefault="00A85CA6" w:rsidP="00A85CA6">
      <w:pPr>
        <w:pStyle w:val="a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33028, м. Рівне, майдан Просвіти, 1, </w:t>
      </w:r>
      <w:proofErr w:type="spellStart"/>
      <w:r>
        <w:rPr>
          <w:rFonts w:ascii="Times New Roman" w:hAnsi="Times New Roman"/>
          <w:i/>
          <w:sz w:val="20"/>
        </w:rPr>
        <w:t>тел</w:t>
      </w:r>
      <w:proofErr w:type="spellEnd"/>
      <w:r>
        <w:rPr>
          <w:rFonts w:ascii="Times New Roman" w:hAnsi="Times New Roman"/>
          <w:i/>
          <w:sz w:val="20"/>
        </w:rPr>
        <w:t xml:space="preserve">. (036-2) 695-472, факс (036-2) 695-255 е-mail: </w:t>
      </w:r>
      <w:hyperlink r:id="rId7" w:history="1">
        <w:r>
          <w:rPr>
            <w:rStyle w:val="a3"/>
            <w:rFonts w:ascii="Times New Roman" w:hAnsi="Times New Roman"/>
            <w:i/>
            <w:sz w:val="20"/>
          </w:rPr>
          <w:t>sysoieva@rada.rv.ua</w:t>
        </w:r>
      </w:hyperlink>
    </w:p>
    <w:tbl>
      <w:tblPr>
        <w:tblW w:w="10095" w:type="dxa"/>
        <w:tblInd w:w="-3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5"/>
      </w:tblGrid>
      <w:tr w:rsidR="00A85CA6" w:rsidTr="00A85CA6">
        <w:trPr>
          <w:trHeight w:val="40"/>
        </w:trPr>
        <w:tc>
          <w:tcPr>
            <w:tcW w:w="101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5CA6" w:rsidRDefault="00A85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 Р О Т О К О Л   №  94</w:t>
            </w:r>
          </w:p>
          <w:p w:rsidR="00A85CA6" w:rsidRDefault="00A8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власного засідання постійної комісії сьомого скликання</w:t>
            </w:r>
          </w:p>
        </w:tc>
      </w:tr>
    </w:tbl>
    <w:p w:rsidR="00A85CA6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 квітня 2020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12.00,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301 </w:t>
      </w:r>
    </w:p>
    <w:p w:rsidR="00A85CA6" w:rsidRDefault="00A85CA6" w:rsidP="00A85C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A85CA6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Благодир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Ю.А.</w:t>
      </w:r>
    </w:p>
    <w:p w:rsidR="00A85CA6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голови постійної комісії: </w:t>
      </w:r>
      <w:r>
        <w:rPr>
          <w:rFonts w:ascii="Times New Roman" w:hAnsi="Times New Roman"/>
          <w:sz w:val="28"/>
          <w:szCs w:val="28"/>
          <w:lang w:val="uk-UA"/>
        </w:rPr>
        <w:t>Гордійчук Д.Ю.</w:t>
      </w:r>
    </w:p>
    <w:p w:rsidR="00A85CA6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постійної комісії: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Білик Ю.Р., Корнійчук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 (дистанційно),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A85CA6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Бортнік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Кльоп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В.Ф., Павловська К.С.,</w:t>
      </w:r>
    </w:p>
    <w:p w:rsidR="00A85CA6" w:rsidRDefault="00A85CA6" w:rsidP="00A85CA6">
      <w:pPr>
        <w:spacing w:after="0" w:line="240" w:lineRule="auto"/>
        <w:ind w:left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Савчук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Ундір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A85CA6" w:rsidRDefault="00A85CA6" w:rsidP="00A85CA6">
      <w:pPr>
        <w:spacing w:after="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Всього з 12 членів постійної комісії присутні 7.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Засідання постійної комісії з урахуванням п</w:t>
      </w:r>
      <w:r w:rsidR="00795328">
        <w:rPr>
          <w:rFonts w:ascii="Times New Roman" w:hAnsi="Times New Roman"/>
          <w:sz w:val="28"/>
          <w:szCs w:val="28"/>
          <w:lang w:val="uk-UA"/>
        </w:rPr>
        <w:t xml:space="preserve">ункту </w:t>
      </w:r>
      <w:r>
        <w:rPr>
          <w:rFonts w:ascii="Times New Roman" w:hAnsi="Times New Roman"/>
          <w:sz w:val="28"/>
          <w:szCs w:val="28"/>
          <w:lang w:val="uk-UA"/>
        </w:rPr>
        <w:t xml:space="preserve">11.1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«Прикінцевих та перехідних положень» Закону України «Про місцеве самоврядування в Україні» є правомочним. Рішення, рекомендації, висновки, постійної комісії приймаються більшістю голосів від загального складу комісії. </w:t>
      </w: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головні розпорядники коштів обласного бюджету, які можуть надати роз’яснення щодо внесен</w:t>
      </w:r>
      <w:r w:rsidR="00A43C15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 порядку денного питан</w:t>
      </w:r>
      <w:r w:rsidR="00A43C15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CA6" w:rsidRDefault="00A85CA6" w:rsidP="00A85CA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236"/>
      </w:tblGrid>
      <w:tr w:rsidR="00A85CA6" w:rsidTr="00A8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Біляк</w:t>
            </w:r>
          </w:p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Лідія Аркадіївна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директор департаменту фінансів облдержадміністрації</w:t>
            </w:r>
          </w:p>
        </w:tc>
      </w:tr>
      <w:tr w:rsidR="00A85CA6" w:rsidTr="00A8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Нагорний </w:t>
            </w:r>
          </w:p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в.о. начальника управління молоді та спорту облдержадміністрації</w:t>
            </w:r>
          </w:p>
        </w:tc>
      </w:tr>
      <w:tr w:rsidR="00A85CA6" w:rsidTr="00A8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Мельник</w:t>
            </w:r>
          </w:p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департаменту будівництва та архітектури облдержадміністрації</w:t>
            </w:r>
          </w:p>
        </w:tc>
      </w:tr>
      <w:tr w:rsidR="00A85CA6" w:rsidTr="00A8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tabs>
                <w:tab w:val="left" w:pos="34"/>
                <w:tab w:val="left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Осадчук </w:t>
            </w:r>
          </w:p>
          <w:p w:rsidR="00A85CA6" w:rsidRDefault="00A85C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Віталіївна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A6" w:rsidRDefault="00A85CA6" w:rsidP="007F5849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управління охорони здоров’я облдержадміністрації</w:t>
            </w:r>
          </w:p>
        </w:tc>
      </w:tr>
    </w:tbl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826CC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Благодиря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Юрія Анатолійовича </w:t>
      </w:r>
      <w:r>
        <w:rPr>
          <w:rFonts w:ascii="Times New Roman" w:hAnsi="Times New Roman"/>
          <w:i/>
          <w:sz w:val="28"/>
          <w:szCs w:val="28"/>
          <w:lang w:val="uk-UA"/>
        </w:rPr>
        <w:t>–</w:t>
      </w:r>
      <w:r w:rsidR="00AD6D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голову постійної комісії обласної ради з питань бюджету, фінансів та податків</w:t>
      </w:r>
      <w:r>
        <w:rPr>
          <w:rFonts w:ascii="Times New Roman" w:hAnsi="Times New Roman"/>
          <w:sz w:val="28"/>
          <w:szCs w:val="28"/>
          <w:lang w:val="uk-UA"/>
        </w:rPr>
        <w:t xml:space="preserve">. Керуючись пунктом 11.1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«Прикінцевих та перехідних положень» Закону України «Про місцеве самоврядування в Україні» повідомив, що член постійної комісії </w:t>
      </w:r>
      <w:r w:rsidR="007826CC">
        <w:rPr>
          <w:rFonts w:ascii="Times New Roman" w:hAnsi="Times New Roman"/>
          <w:sz w:val="28"/>
          <w:szCs w:val="28"/>
          <w:lang w:val="uk-UA"/>
        </w:rPr>
        <w:t xml:space="preserve">обласної ради з питань бюджету, фінансів та податків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Л. В. </w:t>
      </w:r>
      <w:r w:rsidR="007826C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зв’язку з поважними причинами та з метою запобігання поширенню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 w:rsidR="00BC1CD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 xml:space="preserve">-19) бере участь в засіданні комісії у режимі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аудіоконференції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5CA6" w:rsidRDefault="007826CC" w:rsidP="00782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A85CA6">
        <w:rPr>
          <w:rFonts w:ascii="Times New Roman" w:hAnsi="Times New Roman"/>
          <w:sz w:val="28"/>
          <w:szCs w:val="28"/>
          <w:lang w:val="uk-UA"/>
        </w:rPr>
        <w:t xml:space="preserve">роінформував про порядок проведення дистанційної участі </w:t>
      </w:r>
      <w:proofErr w:type="spellStart"/>
      <w:r w:rsidR="00A85CA6">
        <w:rPr>
          <w:rFonts w:ascii="Times New Roman" w:hAnsi="Times New Roman"/>
          <w:sz w:val="28"/>
          <w:szCs w:val="28"/>
          <w:lang w:val="uk-UA"/>
        </w:rPr>
        <w:t>Мариніної</w:t>
      </w:r>
      <w:proofErr w:type="spellEnd"/>
      <w:r w:rsidR="00A85CA6">
        <w:rPr>
          <w:rFonts w:ascii="Times New Roman" w:hAnsi="Times New Roman"/>
          <w:sz w:val="28"/>
          <w:szCs w:val="28"/>
          <w:lang w:val="uk-UA"/>
        </w:rPr>
        <w:t xml:space="preserve"> Л. В. у цьому засіданні, зокрема про ідентифікацію особи депутата </w:t>
      </w:r>
      <w:proofErr w:type="spellStart"/>
      <w:r w:rsidR="00A85CA6">
        <w:rPr>
          <w:rFonts w:ascii="Times New Roman" w:hAnsi="Times New Roman"/>
          <w:sz w:val="28"/>
          <w:szCs w:val="28"/>
          <w:lang w:val="uk-UA"/>
        </w:rPr>
        <w:t>Мариніної</w:t>
      </w:r>
      <w:proofErr w:type="spellEnd"/>
      <w:r w:rsidR="00A85CA6">
        <w:rPr>
          <w:rFonts w:ascii="Times New Roman" w:hAnsi="Times New Roman"/>
          <w:sz w:val="28"/>
          <w:szCs w:val="28"/>
          <w:lang w:val="uk-UA"/>
        </w:rPr>
        <w:t xml:space="preserve"> Л. В. та фіксацію результатів голосування щодо кожного питання. </w:t>
      </w:r>
    </w:p>
    <w:p w:rsidR="00A85CA6" w:rsidRDefault="00A85CA6" w:rsidP="0079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Включив гучномовець під час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аудіозв’язку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Мариніною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Л. В.</w:t>
      </w:r>
    </w:p>
    <w:p w:rsidR="00A85CA6" w:rsidRDefault="00836DA9" w:rsidP="0079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повідомив, що</w:t>
      </w:r>
      <w:r w:rsidR="00A85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85CA6">
        <w:rPr>
          <w:rFonts w:ascii="Times New Roman" w:hAnsi="Times New Roman"/>
          <w:sz w:val="28"/>
          <w:szCs w:val="28"/>
          <w:lang w:val="uk-UA"/>
        </w:rPr>
        <w:t>Мариніна</w:t>
      </w:r>
      <w:proofErr w:type="spellEnd"/>
      <w:r w:rsidR="00A85CA6">
        <w:rPr>
          <w:rFonts w:ascii="Times New Roman" w:hAnsi="Times New Roman"/>
          <w:sz w:val="28"/>
          <w:szCs w:val="28"/>
          <w:lang w:val="uk-UA"/>
        </w:rPr>
        <w:t xml:space="preserve"> Л. В. </w:t>
      </w:r>
      <w:r>
        <w:rPr>
          <w:rFonts w:ascii="Times New Roman" w:hAnsi="Times New Roman"/>
          <w:sz w:val="28"/>
          <w:szCs w:val="28"/>
          <w:lang w:val="uk-UA"/>
        </w:rPr>
        <w:t>долучить до протоколу</w:t>
      </w:r>
      <w:r w:rsidR="00A85CA6">
        <w:rPr>
          <w:rFonts w:ascii="Times New Roman" w:hAnsi="Times New Roman"/>
          <w:sz w:val="28"/>
          <w:szCs w:val="28"/>
          <w:lang w:val="uk-UA"/>
        </w:rPr>
        <w:t xml:space="preserve"> власне письмове підтвердження щодо результатів своєї участі та голосування у цьому засіданні.</w:t>
      </w: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795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Озвучив порядок денний засідання постійної комісії. </w:t>
      </w:r>
    </w:p>
    <w:p w:rsidR="00795328" w:rsidRDefault="00795328" w:rsidP="007953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A85CA6" w:rsidRDefault="00A85CA6" w:rsidP="00A85CA6">
      <w:pPr>
        <w:pStyle w:val="a7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затвердити наступний</w:t>
      </w:r>
    </w:p>
    <w:p w:rsidR="00A85CA6" w:rsidRDefault="00A85CA6" w:rsidP="00A85CA6">
      <w:pPr>
        <w:pStyle w:val="a7"/>
        <w:jc w:val="left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Порядок денний:</w:t>
      </w:r>
    </w:p>
    <w:p w:rsidR="00A85CA6" w:rsidRDefault="00A85CA6" w:rsidP="00A85CA6">
      <w:pPr>
        <w:pStyle w:val="a7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  <w:lang w:eastAsia="ru-RU"/>
        </w:rPr>
        <w:t xml:space="preserve">Власні   </w:t>
      </w:r>
      <w:r>
        <w:rPr>
          <w:rFonts w:ascii="Times New Roman" w:hAnsi="Times New Roman"/>
          <w:b/>
          <w:szCs w:val="28"/>
          <w:u w:val="single"/>
        </w:rPr>
        <w:t>питання</w:t>
      </w:r>
    </w:p>
    <w:p w:rsidR="00A85CA6" w:rsidRDefault="00A85CA6" w:rsidP="00A85CA6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85CA6" w:rsidRDefault="00A85CA6" w:rsidP="00A85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на суму 15,0 тис. грн. за рахунок іншої субвенції з сільського бюджету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Шпанівської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об’єднаної територіальної громади Рівненського району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Доповідає: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Нагорний Петро Васильович – в.о. начальника управління у справах молоді та спорту облдержадміністрації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5CA6" w:rsidRDefault="00A85CA6" w:rsidP="00A85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на суму 5 630,0 тис. грн. за рахунок іншої субвенції з міського бюджету міста Рівне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Доповідає: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Нагорний Петро Васильович – в.о. начальника управління у справах молоді та спорту облдержадміністрації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5CA6" w:rsidRDefault="00A85CA6" w:rsidP="00A85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міжбюджетні трансферти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Доповідає: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Мельник Василь Вікторович – заступник директора департаменту з питань будівництва та архітектури облдержадміністрації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85CA6" w:rsidRDefault="00A85CA6" w:rsidP="00A85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Доповідає: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Осадчук Валентина Віталіївна – головний бухгалтер управління охорони здоров’я облдержадміністрації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A85CA6" w:rsidRDefault="00A85CA6" w:rsidP="00A85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Різне</w:t>
      </w:r>
    </w:p>
    <w:p w:rsidR="00A85CA6" w:rsidRDefault="00A85CA6" w:rsidP="00A85CA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використання резервного фонду обласного бюджету в січні – березні 2020 року.</w:t>
      </w:r>
    </w:p>
    <w:p w:rsidR="00A85CA6" w:rsidRPr="007826CC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„За” – 7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.”- 0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84394" w:rsidRDefault="00A85CA6" w:rsidP="00836DA9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Порядок денний засідання затверджено.</w:t>
      </w:r>
      <w:r w:rsidR="00F84394">
        <w:rPr>
          <w:rFonts w:ascii="Times New Roman" w:hAnsi="Times New Roman"/>
          <w:b/>
          <w:szCs w:val="28"/>
        </w:rPr>
        <w:br w:type="page"/>
      </w:r>
    </w:p>
    <w:p w:rsidR="00A85CA6" w:rsidRDefault="00A85CA6" w:rsidP="00A85CA6">
      <w:pPr>
        <w:pStyle w:val="a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Р о з г л я д     п и т а н ь     п о р я д к у     д е н </w:t>
      </w:r>
      <w:proofErr w:type="spellStart"/>
      <w:r>
        <w:rPr>
          <w:rFonts w:ascii="Times New Roman" w:hAnsi="Times New Roman"/>
          <w:b/>
          <w:szCs w:val="28"/>
        </w:rPr>
        <w:t>н</w:t>
      </w:r>
      <w:proofErr w:type="spellEnd"/>
      <w:r>
        <w:rPr>
          <w:rFonts w:ascii="Times New Roman" w:hAnsi="Times New Roman"/>
          <w:b/>
          <w:szCs w:val="28"/>
        </w:rPr>
        <w:t xml:space="preserve"> о г о</w:t>
      </w:r>
    </w:p>
    <w:p w:rsidR="00A85CA6" w:rsidRDefault="00A85CA6" w:rsidP="00A85C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ind w:left="540" w:hanging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Власні   питання</w:t>
      </w:r>
    </w:p>
    <w:p w:rsidR="00A85CA6" w:rsidRDefault="00A85CA6" w:rsidP="00A85CA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на суму 15,0 тис. грн. за рахунок іншої субвенції з сільського бюджету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Шпанівської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 Рівненського району</w:t>
      </w:r>
    </w:p>
    <w:p w:rsidR="00A85CA6" w:rsidRDefault="00A85CA6" w:rsidP="00A85CA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A85CA6" w:rsidRDefault="00A85CA6" w:rsidP="00910CA5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Нагорного Петра Васильовича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в.о. начальника управління у справах молоді та спорту облдержадміністрації.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Ознайомив депутатів з основними положеннями проєкту розпорядження голови облдержадміністрації. Повідомив, що прийняття даного розпорядження забезпечить фінансування проведення комунальним закладом «Рівненський обласний молодіжний пластовий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вишкільний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центр» Рівненської обласної ради заходів, спрямованих на створення умов для самореалізації, неформальної освіти та національно-патріотичного виховання молоді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Рівненського району. </w:t>
      </w:r>
    </w:p>
    <w:p w:rsidR="00A85CA6" w:rsidRDefault="00A85CA6" w:rsidP="00A85C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A85CA6" w:rsidRDefault="00A85CA6" w:rsidP="00A85CA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A85CA6" w:rsidRDefault="00A85CA6" w:rsidP="00A85CA6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</w:t>
      </w:r>
      <w:r>
        <w:rPr>
          <w:rFonts w:ascii="Times New Roman" w:hAnsi="Times New Roman"/>
          <w:bCs/>
          <w:sz w:val="28"/>
          <w:szCs w:val="28"/>
          <w:lang w:val="uk-UA"/>
        </w:rPr>
        <w:t>на суму 15,0 тис. 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від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16.04.2020 №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3379/0/01-37/20).</w:t>
      </w:r>
    </w:p>
    <w:p w:rsidR="00A85CA6" w:rsidRDefault="00A85CA6" w:rsidP="00A85CA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”– 7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A85CA6" w:rsidRDefault="00A85CA6" w:rsidP="00A85CA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на суму 5 630,0 тис. грн. за рахунок іншої субвенції з міського бюджету міста Рівне</w:t>
      </w:r>
    </w:p>
    <w:p w:rsidR="00A85CA6" w:rsidRDefault="00A85CA6" w:rsidP="00A85CA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A85CA6" w:rsidRDefault="00A85CA6" w:rsidP="00A85CA6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Нагорного Петра Васильовича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в.о. начальника управління у справах молоді та спорту облдержадміністрації.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Ознайомив депутатів з основними положеннями проєкту розпорядження голови облдержадміністрації. Зокрема проінформував, що головною метою розпорядження є надання фінансової підтримки громадським об’єднанням фізкультурно-спортивної спрямованості для належної підготовки збірних команд області до всеукраїнських змагань та участі у них на виконання заходів Програми розвитку фізичної культури і спорту в Рівненській області на період до 2020 року. </w:t>
      </w:r>
    </w:p>
    <w:p w:rsidR="00A85CA6" w:rsidRDefault="00A85CA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lastRenderedPageBreak/>
        <w:t>ВИРІШИЛИ:</w:t>
      </w:r>
    </w:p>
    <w:p w:rsidR="00A85CA6" w:rsidRDefault="00A85CA6" w:rsidP="00A85CA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A85CA6" w:rsidRDefault="00A85CA6" w:rsidP="00A85CA6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внесення змін до обласного бюджету Рівненської області на 2020 рік головному розпоряднику коштів – управлінню у справах молоді та спорту облдержадміністрації, </w:t>
      </w:r>
      <w:r>
        <w:rPr>
          <w:rFonts w:ascii="Times New Roman" w:hAnsi="Times New Roman"/>
          <w:bCs/>
          <w:sz w:val="28"/>
          <w:szCs w:val="28"/>
          <w:lang w:val="uk-UA"/>
        </w:rPr>
        <w:t>на суму 5 630,0 тис. 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(відповідно до звернення облдержадміністрації від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16.04.2020 №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3380/0/01-37/20).</w:t>
      </w:r>
    </w:p>
    <w:p w:rsidR="00A85CA6" w:rsidRDefault="00A85CA6" w:rsidP="00A85CA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2020 рік.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”– 7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A85CA6" w:rsidRDefault="00A85CA6" w:rsidP="00A85CA6">
      <w:pPr>
        <w:pStyle w:val="a9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міжбюджетні трансферти</w:t>
      </w:r>
    </w:p>
    <w:p w:rsidR="00A85CA6" w:rsidRDefault="00A85CA6" w:rsidP="00A85CA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A85CA6" w:rsidRDefault="00A85CA6" w:rsidP="00A85CA6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0CA5">
        <w:rPr>
          <w:rFonts w:ascii="Times New Roman" w:hAnsi="Times New Roman"/>
          <w:i/>
          <w:sz w:val="28"/>
          <w:szCs w:val="28"/>
          <w:u w:val="single"/>
          <w:lang w:val="uk-UA"/>
        </w:rPr>
        <w:t>Мельника Василя Вікторовича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заступника директора департаменту з питань будівництва та архітектури облдержадміністрації.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Ознайомив депутатів з основними положеннями проєкту розпорядження голови облдержадміністрації. Надав інформацію про зміни до розподілу видатків розвитку 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місцевих бюджетів на 2020 рік; про зміни до переліку об’єктів, </w:t>
      </w:r>
      <w:r>
        <w:rPr>
          <w:rFonts w:ascii="Times New Roman" w:hAnsi="Times New Roman"/>
          <w:bCs/>
          <w:sz w:val="28"/>
          <w:szCs w:val="28"/>
          <w:lang w:val="uk-UA"/>
        </w:rPr>
        <w:t>видатки на які у 2020 році будуть проводитися за рахунок коштів бюджету розвитку обласного бюджету, а саме субвенцій, що передаються з місцевих бюджетів обласному бюджету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85CA6" w:rsidRDefault="00A85CA6" w:rsidP="00A85C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A85CA6" w:rsidRDefault="00A85CA6" w:rsidP="00A85CA6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A85CA6" w:rsidRDefault="00A85CA6" w:rsidP="00A85CA6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міжбюджетні трансферти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відповідно до звернення облдержадміністрації від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15.04.2020 №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3373/0/01-39/20).</w:t>
      </w:r>
    </w:p>
    <w:p w:rsidR="00A85CA6" w:rsidRDefault="00A85CA6" w:rsidP="00A85CA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ці трансферти при внесенні змін до обласного бюджету на 2020 рік.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”– 7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A85CA6" w:rsidRDefault="00A85CA6" w:rsidP="00A85CA6">
      <w:pPr>
        <w:pStyle w:val="a9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CA6" w:rsidRDefault="00A85CA6" w:rsidP="00A85C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</w:t>
      </w:r>
    </w:p>
    <w:p w:rsidR="00A85CA6" w:rsidRDefault="00A85CA6" w:rsidP="00A85CA6">
      <w:pPr>
        <w:pStyle w:val="a4"/>
        <w:shd w:val="clear" w:color="auto" w:fill="FFFFFF"/>
        <w:tabs>
          <w:tab w:val="left" w:pos="10348"/>
        </w:tabs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СЛУХАЛИ: </w:t>
      </w:r>
    </w:p>
    <w:p w:rsidR="00A85CA6" w:rsidRDefault="00A85CA6" w:rsidP="00A85CA6">
      <w:pPr>
        <w:pStyle w:val="a9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0CA5">
        <w:rPr>
          <w:rFonts w:ascii="Times New Roman" w:hAnsi="Times New Roman"/>
          <w:i/>
          <w:sz w:val="28"/>
          <w:szCs w:val="28"/>
          <w:u w:val="single"/>
          <w:lang w:val="uk-UA"/>
        </w:rPr>
        <w:t>Осадчук Валентину Віталіївну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головного бухгалтера управління охорони здоров’я облдержадміністрації. </w:t>
      </w:r>
      <w:r>
        <w:rPr>
          <w:rFonts w:ascii="Times New Roman" w:hAnsi="Times New Roman"/>
          <w:sz w:val="28"/>
          <w:szCs w:val="28"/>
          <w:lang w:val="uk-UA"/>
        </w:rPr>
        <w:t>Ознайомила депутатів з основними положеннями проєкту розпорядження голови облдержадміністрації. Проінформувала, що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25.03.2020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№</w:t>
      </w:r>
      <w:r w:rsidR="007826C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250 «Деякі питання надання у 2020 році субвенції з державного бюджету місцевим бюджетам на здійснення підтримки окремих закладів та заходів у системі охорони здоров’я» виділено додатковий обсяг субвенції обласному бюджету Рівненської області в сумі 85 004,0 тис. грн. на підтримку окремих закладів охорони здоров’я, які надають вторинну (спеціалізовану) та третинну (високоспеціалізовану) медичну допомогу за програмою державних гарантій медичного обслуговування населення з метою недопущення утворення заборгованості з виплати заробітної плати працівникам та нарахувань на неї, забезпечення лікування хворих на цукровий діабет інсуліном та нецукровий діабет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десмопресином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комунальному підприємству «Центр громадського здоров’я» Рівненської обласної ради для оплати поточних видатків закладів охорони здоров’я у системі охорони здоров’я, визначених підпунктом «є» пункту 3 частини першої статті 90 Бюджетного кодексу України, на фінансове забезпечення діяльності, пов’язаної з проведенням судово-психіатричної експертизи. </w:t>
      </w:r>
    </w:p>
    <w:p w:rsidR="00A85CA6" w:rsidRPr="00032A5B" w:rsidRDefault="00A85CA6" w:rsidP="00A85CA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85CA6" w:rsidRDefault="00A85CA6" w:rsidP="00A85CA6">
      <w:pPr>
        <w:spacing w:after="0" w:line="240" w:lineRule="auto"/>
        <w:ind w:left="360" w:right="26" w:hanging="360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ВИРІШИЛИ:</w:t>
      </w:r>
    </w:p>
    <w:p w:rsidR="00A85CA6" w:rsidRDefault="00A85CA6" w:rsidP="00A85CA6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Інформацію взяти до відома.</w:t>
      </w:r>
    </w:p>
    <w:p w:rsidR="00A85CA6" w:rsidRDefault="00A85CA6" w:rsidP="00A85CA6">
      <w:pPr>
        <w:numPr>
          <w:ilvl w:val="0"/>
          <w:numId w:val="8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u w:val="single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розподіл субвенції з державного бюджету місцевим бюджетам на здійснення підтримки окремих закладів та заходів у системі охорони здоров’я на 2020 рік (відповідно до звернення облдержадміністрації від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16.04.2020 №</w:t>
      </w:r>
      <w:r w:rsidR="00DC0A9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3407/0/01-34/20).</w:t>
      </w:r>
    </w:p>
    <w:p w:rsidR="00A85CA6" w:rsidRDefault="00A85CA6" w:rsidP="00A85CA6">
      <w:pPr>
        <w:numPr>
          <w:ilvl w:val="0"/>
          <w:numId w:val="8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облдержадміністрації доручити відповідним структурним підрозділам врахувати цей розподіл при внесенні змін до обласного бюджету на 2020 рік.</w:t>
      </w:r>
    </w:p>
    <w:p w:rsidR="00A85CA6" w:rsidRDefault="00A85CA6" w:rsidP="00A85CA6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  <w:u w:val="single"/>
          <w:lang w:val="uk-UA" w:eastAsia="ru-RU"/>
        </w:rPr>
      </w:pP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i/>
          <w:sz w:val="28"/>
          <w:szCs w:val="28"/>
          <w:lang w:val="uk-UA"/>
        </w:rPr>
        <w:t>„За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”– 7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„проти”–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., „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утрим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., „не голос.”– 0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85CA6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Рекомендації прийнято.</w:t>
      </w:r>
    </w:p>
    <w:p w:rsidR="00A85CA6" w:rsidRPr="00B51602" w:rsidRDefault="00A85CA6" w:rsidP="00A85CA6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A85CA6" w:rsidRDefault="00A85CA6" w:rsidP="00A85C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Різне</w:t>
      </w:r>
    </w:p>
    <w:p w:rsidR="00A85CA6" w:rsidRDefault="00A85CA6" w:rsidP="00B51602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використання резервного фонду обласного бюджету в січні – березні 2020 року.</w:t>
      </w:r>
    </w:p>
    <w:p w:rsidR="00A85CA6" w:rsidRPr="00032A5B" w:rsidRDefault="00A85CA6" w:rsidP="00B5160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16"/>
          <w:szCs w:val="16"/>
          <w:lang w:val="uk-UA" w:eastAsia="ru-RU"/>
        </w:rPr>
      </w:pPr>
    </w:p>
    <w:p w:rsidR="00A85CA6" w:rsidRDefault="00A85CA6" w:rsidP="00B51602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 взяти до відома та використання в роботі.</w:t>
      </w:r>
    </w:p>
    <w:p w:rsidR="00133940" w:rsidRPr="00032A5B" w:rsidRDefault="00133940" w:rsidP="00B51602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33940" w:rsidRDefault="005E1A1C" w:rsidP="00B51602">
      <w:pPr>
        <w:spacing w:after="12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0F2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Додаток:</w:t>
      </w:r>
      <w:r w:rsidR="00B5160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="001339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письмове підтвердження </w:t>
      </w:r>
      <w:r w:rsidR="00B51602">
        <w:rPr>
          <w:rFonts w:ascii="Times New Roman" w:hAnsi="Times New Roman"/>
          <w:sz w:val="28"/>
          <w:szCs w:val="28"/>
          <w:lang w:val="uk-UA"/>
        </w:rPr>
        <w:t>щодо результатів своєї участі та голосування</w:t>
      </w:r>
      <w:r w:rsidR="00032A5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032A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засіданні постійної комісії обласної ради з питань бюджету, фінансів та податків 17.04.2020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депутата обласної ради</w:t>
      </w:r>
      <w:r w:rsidR="00B5160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члена постійної комісії обласної ради з питань бюджету, фінансів та податків </w:t>
      </w:r>
      <w:proofErr w:type="spellStart"/>
      <w:r w:rsidR="00133940">
        <w:rPr>
          <w:rFonts w:ascii="Times New Roman" w:eastAsia="Times New Roman" w:hAnsi="Times New Roman"/>
          <w:sz w:val="28"/>
          <w:szCs w:val="28"/>
          <w:lang w:val="uk-UA" w:eastAsia="ru-RU"/>
        </w:rPr>
        <w:t>Мариніної</w:t>
      </w:r>
      <w:proofErr w:type="spellEnd"/>
      <w:r w:rsidR="00133940">
        <w:rPr>
          <w:rFonts w:ascii="Times New Roman" w:eastAsia="Times New Roman" w:hAnsi="Times New Roman"/>
          <w:sz w:val="28"/>
          <w:szCs w:val="28"/>
          <w:lang w:val="uk-UA" w:eastAsia="ru-RU"/>
        </w:rPr>
        <w:t> Л.В.;</w:t>
      </w:r>
    </w:p>
    <w:p w:rsidR="00A85CA6" w:rsidRDefault="005E1A1C" w:rsidP="005E1A1C">
      <w:pPr>
        <w:spacing w:after="120" w:line="240" w:lineRule="auto"/>
        <w:ind w:left="1418" w:hanging="284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133940">
        <w:rPr>
          <w:rFonts w:ascii="Times New Roman" w:eastAsia="Times New Roman" w:hAnsi="Times New Roman"/>
          <w:sz w:val="28"/>
          <w:szCs w:val="28"/>
          <w:lang w:val="uk-UA" w:eastAsia="ru-RU"/>
        </w:rPr>
        <w:t>удіозапис</w:t>
      </w:r>
      <w:proofErr w:type="spellEnd"/>
      <w:r w:rsidR="001339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обласної ради з питань бюджету, фінансів та податків від 17.04.2020 на змінному носії інформації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85CA6" w:rsidRDefault="00A85CA6" w:rsidP="00A85C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0"/>
        <w:gridCol w:w="3969"/>
      </w:tblGrid>
      <w:tr w:rsidR="00A85CA6" w:rsidTr="00A85CA6">
        <w:tc>
          <w:tcPr>
            <w:tcW w:w="5670" w:type="dxa"/>
          </w:tcPr>
          <w:p w:rsidR="00A85CA6" w:rsidRDefault="00A85C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постійної комісії обласної ради </w:t>
            </w:r>
          </w:p>
          <w:p w:rsidR="00A85CA6" w:rsidRDefault="00A85C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питань бюджету, фінансів та податків</w:t>
            </w:r>
          </w:p>
          <w:p w:rsidR="00A85CA6" w:rsidRDefault="00A85CA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hideMark/>
          </w:tcPr>
          <w:p w:rsidR="00A85CA6" w:rsidRDefault="00A85CA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Юрій БЛАГОДИР</w:t>
            </w:r>
          </w:p>
        </w:tc>
      </w:tr>
    </w:tbl>
    <w:p w:rsidR="00A85CA6" w:rsidRPr="00A43C15" w:rsidRDefault="00A85CA6" w:rsidP="005F0F2B">
      <w:pPr>
        <w:rPr>
          <w:lang w:val="uk-UA"/>
        </w:rPr>
      </w:pPr>
      <w:bookmarkStart w:id="0" w:name="_GoBack"/>
      <w:bookmarkEnd w:id="0"/>
    </w:p>
    <w:sectPr w:rsidR="00A85CA6" w:rsidRPr="00A43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00C"/>
    <w:multiLevelType w:val="multilevel"/>
    <w:tmpl w:val="CF129750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1">
    <w:nsid w:val="10B35C86"/>
    <w:multiLevelType w:val="hybridMultilevel"/>
    <w:tmpl w:val="9CC49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45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8DF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F8C"/>
    <w:multiLevelType w:val="hybridMultilevel"/>
    <w:tmpl w:val="710C7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47EC8"/>
    <w:multiLevelType w:val="hybridMultilevel"/>
    <w:tmpl w:val="C4CA31A4"/>
    <w:lvl w:ilvl="0" w:tplc="233630A0">
      <w:start w:val="32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6A482C01"/>
    <w:multiLevelType w:val="multilevel"/>
    <w:tmpl w:val="D72C3082"/>
    <w:lvl w:ilvl="0">
      <w:start w:val="5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</w:rPr>
    </w:lvl>
  </w:abstractNum>
  <w:abstractNum w:abstractNumId="8">
    <w:nsid w:val="75714C78"/>
    <w:multiLevelType w:val="hybridMultilevel"/>
    <w:tmpl w:val="C666BD36"/>
    <w:lvl w:ilvl="0" w:tplc="E5E880D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6"/>
    <w:rsid w:val="00032A5B"/>
    <w:rsid w:val="00133940"/>
    <w:rsid w:val="00220BA1"/>
    <w:rsid w:val="005E1A1C"/>
    <w:rsid w:val="005F0F2B"/>
    <w:rsid w:val="00750810"/>
    <w:rsid w:val="007826CC"/>
    <w:rsid w:val="00795328"/>
    <w:rsid w:val="00836DA9"/>
    <w:rsid w:val="00901D4C"/>
    <w:rsid w:val="00910CA5"/>
    <w:rsid w:val="00A43C15"/>
    <w:rsid w:val="00A85CA6"/>
    <w:rsid w:val="00AD2329"/>
    <w:rsid w:val="00AD6DF6"/>
    <w:rsid w:val="00B51602"/>
    <w:rsid w:val="00BC1CDD"/>
    <w:rsid w:val="00CC71F0"/>
    <w:rsid w:val="00DC0A99"/>
    <w:rsid w:val="00DC24F5"/>
    <w:rsid w:val="00EB785B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5C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85CA6"/>
    <w:pPr>
      <w:spacing w:after="0" w:line="360" w:lineRule="auto"/>
      <w:jc w:val="center"/>
    </w:pPr>
    <w:rPr>
      <w:rFonts w:ascii="Bookman Old Style" w:eastAsia="Times New Roman" w:hAnsi="Bookman Old Style"/>
      <w:b/>
      <w:shadow/>
      <w:sz w:val="36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rsid w:val="00A85CA6"/>
    <w:rPr>
      <w:rFonts w:ascii="Bookman Old Style" w:eastAsia="Times New Roman" w:hAnsi="Bookman Old Style" w:cs="Times New Roman"/>
      <w:b/>
      <w:shadow/>
      <w:sz w:val="36"/>
      <w:szCs w:val="20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85CA6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85CA6"/>
    <w:rPr>
      <w:rFonts w:ascii="Arial" w:eastAsia="Times New Roman" w:hAnsi="Arial" w:cs="Times New Roman"/>
      <w:sz w:val="28"/>
      <w:szCs w:val="20"/>
      <w:lang w:eastAsia="uk-UA"/>
    </w:rPr>
  </w:style>
  <w:style w:type="paragraph" w:styleId="a9">
    <w:name w:val="List Paragraph"/>
    <w:basedOn w:val="a"/>
    <w:uiPriority w:val="99"/>
    <w:qFormat/>
    <w:rsid w:val="00A85CA6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2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184D-61A2-435F-94D5-1B342488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6823</Words>
  <Characters>3890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12</cp:revision>
  <cp:lastPrinted>2020-04-22T12:02:00Z</cp:lastPrinted>
  <dcterms:created xsi:type="dcterms:W3CDTF">2020-04-17T10:37:00Z</dcterms:created>
  <dcterms:modified xsi:type="dcterms:W3CDTF">2020-04-23T11:37:00Z</dcterms:modified>
</cp:coreProperties>
</file>